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B2" w:rsidRPr="00DD07B0" w:rsidRDefault="009315B2" w:rsidP="009315B2">
      <w:pPr>
        <w:spacing w:after="160" w:line="259" w:lineRule="auto"/>
        <w:jc w:val="center"/>
        <w:rPr>
          <w:rFonts w:ascii="Gill Sans MT" w:eastAsiaTheme="minorHAnsi" w:hAnsi="Gill Sans MT" w:cstheme="minorBidi"/>
          <w:b/>
          <w:sz w:val="28"/>
          <w:szCs w:val="28"/>
          <w:lang w:eastAsia="en-US"/>
        </w:rPr>
      </w:pPr>
      <w:bookmarkStart w:id="0" w:name="_Toc70595767"/>
      <w:bookmarkStart w:id="1" w:name="_GoBack"/>
      <w:bookmarkEnd w:id="1"/>
      <w:r w:rsidRPr="00DD07B0">
        <w:rPr>
          <w:rFonts w:ascii="Gill Sans MT" w:eastAsiaTheme="minorHAnsi" w:hAnsi="Gill Sans MT" w:cstheme="minorBidi"/>
          <w:b/>
          <w:sz w:val="28"/>
          <w:szCs w:val="28"/>
          <w:lang w:eastAsia="en-US"/>
        </w:rPr>
        <w:t xml:space="preserve">Obrazac usklađenosti projektnog prijedloga s načelom </w:t>
      </w:r>
      <w:r w:rsidR="00BD6AC1" w:rsidRPr="00DD07B0">
        <w:rPr>
          <w:rFonts w:ascii="Gill Sans MT" w:eastAsiaTheme="minorHAnsi" w:hAnsi="Gill Sans MT" w:cstheme="minorBidi"/>
          <w:b/>
          <w:sz w:val="28"/>
          <w:szCs w:val="28"/>
          <w:lang w:eastAsia="en-US"/>
        </w:rPr>
        <w:t>„ne nanosi bitnu štetu“ – DNSH načelo</w:t>
      </w:r>
    </w:p>
    <w:p w:rsidR="007C34DD" w:rsidRPr="00DD07B0" w:rsidRDefault="007C34DD" w:rsidP="006A12B4">
      <w:pPr>
        <w:spacing w:after="160" w:line="259" w:lineRule="auto"/>
        <w:jc w:val="left"/>
        <w:rPr>
          <w:rFonts w:ascii="Gill Sans MT" w:eastAsiaTheme="minorHAnsi" w:hAnsi="Gill Sans MT" w:cstheme="minorBidi"/>
          <w:b/>
          <w:sz w:val="24"/>
          <w:szCs w:val="24"/>
          <w:lang w:eastAsia="en-US"/>
        </w:rPr>
      </w:pPr>
      <w:r w:rsidRPr="00DD07B0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 xml:space="preserve">Komponenta: </w:t>
      </w:r>
      <w:r w:rsidRPr="00DD07B0">
        <w:rPr>
          <w:rFonts w:ascii="Gill Sans MT" w:eastAsiaTheme="minorHAnsi" w:hAnsi="Gill Sans MT" w:cstheme="minorBidi"/>
          <w:sz w:val="24"/>
          <w:szCs w:val="24"/>
          <w:lang w:eastAsia="en-US"/>
        </w:rPr>
        <w:t>C1. GOSPODARSTVO</w:t>
      </w:r>
    </w:p>
    <w:p w:rsidR="006A12B4" w:rsidRPr="00DD07B0" w:rsidRDefault="007C34DD" w:rsidP="006A12B4">
      <w:pPr>
        <w:spacing w:after="160" w:line="259" w:lineRule="auto"/>
        <w:jc w:val="left"/>
        <w:rPr>
          <w:rFonts w:ascii="Gill Sans MT" w:eastAsiaTheme="minorHAnsi" w:hAnsi="Gill Sans MT" w:cstheme="minorBidi"/>
          <w:b/>
          <w:sz w:val="24"/>
          <w:szCs w:val="24"/>
          <w:lang w:eastAsia="en-US"/>
        </w:rPr>
      </w:pPr>
      <w:r w:rsidRPr="00DD07B0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 xml:space="preserve">Podkomponenta: </w:t>
      </w:r>
      <w:r w:rsidRPr="00DD07B0">
        <w:rPr>
          <w:rFonts w:ascii="Gill Sans MT" w:eastAsiaTheme="minorHAnsi" w:hAnsi="Gill Sans MT" w:cstheme="minorBidi"/>
          <w:sz w:val="24"/>
          <w:szCs w:val="24"/>
          <w:lang w:eastAsia="en-US"/>
        </w:rPr>
        <w:t>C.1.3. Unap</w:t>
      </w:r>
      <w:r w:rsidR="006A12B4" w:rsidRPr="00DD07B0">
        <w:rPr>
          <w:rFonts w:ascii="Gill Sans MT" w:eastAsiaTheme="minorHAnsi" w:hAnsi="Gill Sans MT" w:cstheme="minorBidi"/>
          <w:sz w:val="24"/>
          <w:szCs w:val="24"/>
          <w:lang w:eastAsia="en-US"/>
        </w:rPr>
        <w:t>rjeđenje vodnog gospodarstva i gospodarenja otpadom</w:t>
      </w:r>
      <w:bookmarkEnd w:id="0"/>
      <w:r w:rsidR="006A12B4" w:rsidRPr="00DD07B0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 xml:space="preserve"> </w:t>
      </w:r>
    </w:p>
    <w:p w:rsidR="002305BA" w:rsidRPr="00DD07B0" w:rsidRDefault="007C34DD" w:rsidP="004E0AED">
      <w:pPr>
        <w:spacing w:after="160" w:line="259" w:lineRule="auto"/>
        <w:jc w:val="left"/>
        <w:rPr>
          <w:rFonts w:ascii="Gill Sans MT" w:eastAsiaTheme="minorHAnsi" w:hAnsi="Gill Sans MT" w:cstheme="minorBidi"/>
          <w:sz w:val="24"/>
          <w:szCs w:val="24"/>
          <w:lang w:eastAsia="en-US"/>
        </w:rPr>
      </w:pPr>
      <w:r w:rsidRPr="00DD07B0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 xml:space="preserve">Reforma: </w:t>
      </w:r>
      <w:r w:rsidR="002305BA" w:rsidRPr="00DD07B0">
        <w:rPr>
          <w:rFonts w:ascii="Gill Sans MT" w:eastAsiaTheme="minorHAnsi" w:hAnsi="Gill Sans MT" w:cstheme="minorBidi"/>
          <w:sz w:val="24"/>
          <w:szCs w:val="24"/>
          <w:lang w:eastAsia="en-US"/>
        </w:rPr>
        <w:t>C1.3. R2 Provedba projekata za održivo gospodarenje otpadom</w:t>
      </w:r>
    </w:p>
    <w:p w:rsidR="007C34DD" w:rsidRPr="00DD07B0" w:rsidRDefault="007C34DD" w:rsidP="007C34DD">
      <w:pPr>
        <w:spacing w:after="160" w:line="259" w:lineRule="auto"/>
        <w:jc w:val="left"/>
        <w:rPr>
          <w:rFonts w:ascii="Gill Sans MT" w:hAnsi="Gill Sans MT"/>
          <w:b/>
          <w:sz w:val="24"/>
          <w:szCs w:val="24"/>
        </w:rPr>
      </w:pPr>
      <w:r w:rsidRPr="00DD07B0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 xml:space="preserve">Investicija: </w:t>
      </w:r>
      <w:r w:rsidRPr="00DD07B0">
        <w:rPr>
          <w:rFonts w:ascii="Gill Sans MT" w:eastAsiaTheme="minorHAnsi" w:hAnsi="Gill Sans MT" w:cstheme="minorBidi"/>
          <w:sz w:val="24"/>
          <w:szCs w:val="24"/>
          <w:lang w:eastAsia="en-US"/>
        </w:rPr>
        <w:t>C1.3. R2-I1 Program smanjenja odlaganja otpada</w:t>
      </w:r>
    </w:p>
    <w:p w:rsidR="007C34DD" w:rsidRPr="00DD07B0" w:rsidRDefault="007C34DD" w:rsidP="007C34DD">
      <w:pPr>
        <w:spacing w:after="160" w:line="259" w:lineRule="auto"/>
        <w:jc w:val="left"/>
        <w:rPr>
          <w:rFonts w:ascii="Gill Sans MT" w:eastAsiaTheme="minorHAnsi" w:hAnsi="Gill Sans MT" w:cstheme="minorBidi"/>
          <w:b/>
          <w:color w:val="2C398B"/>
          <w:sz w:val="24"/>
          <w:szCs w:val="24"/>
          <w:lang w:eastAsia="en-US"/>
        </w:rPr>
      </w:pPr>
      <w:r w:rsidRPr="00DD07B0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>Poziv:</w:t>
      </w:r>
      <w:r w:rsidRPr="00DD07B0">
        <w:rPr>
          <w:rFonts w:ascii="Gill Sans MT" w:eastAsiaTheme="minorHAnsi" w:hAnsi="Gill Sans MT" w:cstheme="minorBidi"/>
          <w:b/>
          <w:color w:val="2C398B"/>
          <w:sz w:val="24"/>
          <w:szCs w:val="24"/>
          <w:lang w:eastAsia="en-US"/>
        </w:rPr>
        <w:t xml:space="preserve"> </w:t>
      </w:r>
      <w:r w:rsidRPr="00DD07B0">
        <w:rPr>
          <w:rFonts w:ascii="Gill Sans MT" w:hAnsi="Gill Sans MT"/>
          <w:sz w:val="24"/>
          <w:szCs w:val="24"/>
        </w:rPr>
        <w:t xml:space="preserve">„Izgradnja i/ili opremanje postrojenja za sortiranje odvojeno </w:t>
      </w:r>
      <w:r w:rsidR="003C7D9B" w:rsidRPr="00DD07B0">
        <w:rPr>
          <w:rFonts w:ascii="Gill Sans MT" w:hAnsi="Gill Sans MT"/>
          <w:sz w:val="24"/>
          <w:szCs w:val="24"/>
        </w:rPr>
        <w:t xml:space="preserve">sakupljenog </w:t>
      </w:r>
      <w:r w:rsidRPr="00DD07B0">
        <w:rPr>
          <w:rFonts w:ascii="Gill Sans MT" w:hAnsi="Gill Sans MT"/>
          <w:sz w:val="24"/>
          <w:szCs w:val="24"/>
        </w:rPr>
        <w:t>otpadnog papira, kartona, metala, plastike i drugih materijala“</w:t>
      </w:r>
    </w:p>
    <w:p w:rsidR="006A0BE0" w:rsidRPr="00DD07B0" w:rsidRDefault="006A0BE0" w:rsidP="006A0BE0">
      <w:pPr>
        <w:spacing w:after="0"/>
        <w:rPr>
          <w:rFonts w:ascii="Gill Sans MT" w:hAnsi="Gill Sans MT" w:cs="Arial"/>
          <w:noProof/>
          <w:color w:val="000000" w:themeColor="text1"/>
          <w:sz w:val="24"/>
          <w:szCs w:val="24"/>
        </w:rPr>
      </w:pPr>
      <w:r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 xml:space="preserve">Uputa: </w:t>
      </w:r>
    </w:p>
    <w:p w:rsidR="00BD6AC1" w:rsidRPr="00DD07B0" w:rsidRDefault="009315B2" w:rsidP="009315B2">
      <w:pPr>
        <w:spacing w:after="0"/>
        <w:rPr>
          <w:rFonts w:ascii="Gill Sans MT" w:hAnsi="Gill Sans MT" w:cs="Arial"/>
          <w:noProof/>
          <w:color w:val="000000" w:themeColor="text1"/>
          <w:sz w:val="24"/>
          <w:szCs w:val="24"/>
        </w:rPr>
      </w:pPr>
      <w:r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 xml:space="preserve">Potrebno je ispuniti posljednji stupac u </w:t>
      </w:r>
      <w:r w:rsidR="00AD3777"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>Kontrol</w:t>
      </w:r>
      <w:r w:rsidR="005C7834"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>noj</w:t>
      </w:r>
      <w:r w:rsidR="00AD3777"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 xml:space="preserve"> listi 2 </w:t>
      </w:r>
      <w:r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>kojem će se obrazložiti na koji način konkretan projektni prijedlog  zadovoljava uvjete iz pojedinog zahtjeva DNSH</w:t>
      </w:r>
      <w:r w:rsidR="00BD6AC1"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 xml:space="preserve">. </w:t>
      </w:r>
    </w:p>
    <w:p w:rsidR="00BD6AC1" w:rsidRPr="00DD07B0" w:rsidRDefault="00BD6AC1" w:rsidP="009315B2">
      <w:pPr>
        <w:spacing w:after="0"/>
        <w:rPr>
          <w:rFonts w:ascii="Gill Sans MT" w:hAnsi="Gill Sans MT" w:cs="Arial"/>
          <w:noProof/>
          <w:color w:val="000000" w:themeColor="text1"/>
          <w:sz w:val="24"/>
          <w:szCs w:val="24"/>
        </w:rPr>
      </w:pPr>
      <w:r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 xml:space="preserve">Prilikom ispunjavanja </w:t>
      </w:r>
      <w:r w:rsidR="00AD3777"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 xml:space="preserve">Kontrolne liste 2 </w:t>
      </w:r>
      <w:r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>obrazloženja sukladnosti projektnog prijedloga s navedenim načelima molimo koristiti informacije</w:t>
      </w:r>
      <w:r w:rsidR="00BA2E67"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 xml:space="preserve"> i smjernice </w:t>
      </w:r>
      <w:r w:rsidRPr="00DD07B0">
        <w:rPr>
          <w:rFonts w:ascii="Gill Sans MT" w:hAnsi="Gill Sans MT" w:cs="Arial"/>
          <w:noProof/>
          <w:color w:val="000000" w:themeColor="text1"/>
          <w:sz w:val="24"/>
          <w:szCs w:val="24"/>
        </w:rPr>
        <w:t xml:space="preserve">iz Uputa za prijavitelje, točka 5.3. Održivi razvoj/Načelo „Ne nanosi bitnu štetu“. </w:t>
      </w:r>
    </w:p>
    <w:p w:rsidR="0083082B" w:rsidRPr="00DD07B0" w:rsidRDefault="0083082B" w:rsidP="004E0AED">
      <w:pPr>
        <w:spacing w:after="160" w:line="259" w:lineRule="auto"/>
        <w:jc w:val="left"/>
        <w:rPr>
          <w:rFonts w:ascii="Gill Sans MT" w:eastAsiaTheme="minorHAnsi" w:hAnsi="Gill Sans MT" w:cstheme="minorBidi"/>
          <w:b/>
          <w:color w:val="2C398B"/>
          <w:sz w:val="24"/>
          <w:szCs w:val="24"/>
          <w:lang w:eastAsia="en-US"/>
        </w:rPr>
      </w:pPr>
    </w:p>
    <w:p w:rsidR="004E0AED" w:rsidRPr="007F4548" w:rsidRDefault="004E0AED" w:rsidP="004E0AED">
      <w:pPr>
        <w:rPr>
          <w:rFonts w:ascii="Gill Sans MT" w:hAnsi="Gill Sans MT" w:cs="Arial"/>
          <w:b/>
          <w:bCs/>
          <w:szCs w:val="20"/>
        </w:rPr>
      </w:pPr>
      <w:r w:rsidRPr="007F4548">
        <w:rPr>
          <w:rFonts w:ascii="Gill Sans MT" w:hAnsi="Gill Sans MT" w:cs="Arial"/>
          <w:b/>
          <w:bCs/>
          <w:szCs w:val="20"/>
        </w:rPr>
        <w:t>Kontrolna lista 1</w:t>
      </w:r>
    </w:p>
    <w:tbl>
      <w:tblPr>
        <w:tblStyle w:val="Reetkatablice"/>
        <w:tblpPr w:leftFromText="181" w:rightFromText="181" w:vertAnchor="text" w:horzAnchor="margin" w:tblpY="1"/>
        <w:tblW w:w="0" w:type="auto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3397"/>
        <w:gridCol w:w="851"/>
        <w:gridCol w:w="851"/>
        <w:gridCol w:w="4535"/>
        <w:gridCol w:w="4253"/>
      </w:tblGrid>
      <w:tr w:rsidR="009315B2" w:rsidRPr="00DD07B0" w:rsidTr="007F4548">
        <w:tc>
          <w:tcPr>
            <w:tcW w:w="3397" w:type="dxa"/>
            <w:shd w:val="clear" w:color="auto" w:fill="2C398B"/>
            <w:vAlign w:val="center"/>
          </w:tcPr>
          <w:p w:rsidR="009315B2" w:rsidRPr="007F4548" w:rsidRDefault="009315B2" w:rsidP="007F4548">
            <w:pPr>
              <w:spacing w:after="0" w:line="240" w:lineRule="auto"/>
              <w:jc w:val="center"/>
              <w:rPr>
                <w:rFonts w:ascii="Gill Sans MT" w:hAnsi="Gill Sans MT" w:cstheme="majorHAnsi"/>
                <w:b/>
                <w:bCs/>
                <w:color w:val="FFFFFF" w:themeColor="background1"/>
                <w:sz w:val="20"/>
                <w:szCs w:val="18"/>
              </w:rPr>
            </w:pPr>
            <w:r w:rsidRPr="007F4548">
              <w:rPr>
                <w:rFonts w:ascii="Gill Sans MT" w:hAnsi="Gill Sans MT"/>
                <w:i/>
                <w:noProof/>
                <w:color w:val="FFFFFF" w:themeColor="background1"/>
                <w:sz w:val="20"/>
                <w:szCs w:val="18"/>
              </w:rPr>
              <w:t>Navedite za koje je od sljedećih okolišnih ciljeva potrebna materijalna ocjena usklađenosti mjere s načelom nenanošenja bitne štete</w:t>
            </w:r>
          </w:p>
        </w:tc>
        <w:tc>
          <w:tcPr>
            <w:tcW w:w="851" w:type="dxa"/>
            <w:shd w:val="clear" w:color="auto" w:fill="2C398B"/>
            <w:vAlign w:val="center"/>
          </w:tcPr>
          <w:p w:rsidR="009315B2" w:rsidRPr="007F4548" w:rsidRDefault="009315B2" w:rsidP="007F4548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7F4548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18"/>
              </w:rPr>
              <w:t>Da</w:t>
            </w:r>
          </w:p>
        </w:tc>
        <w:tc>
          <w:tcPr>
            <w:tcW w:w="851" w:type="dxa"/>
            <w:shd w:val="clear" w:color="auto" w:fill="2C398B"/>
            <w:vAlign w:val="center"/>
          </w:tcPr>
          <w:p w:rsidR="009315B2" w:rsidRPr="007F4548" w:rsidRDefault="009315B2" w:rsidP="007F4548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7F4548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18"/>
              </w:rPr>
              <w:t>Ne</w:t>
            </w:r>
          </w:p>
        </w:tc>
        <w:tc>
          <w:tcPr>
            <w:tcW w:w="4535" w:type="dxa"/>
            <w:shd w:val="clear" w:color="auto" w:fill="2C398B"/>
            <w:vAlign w:val="center"/>
          </w:tcPr>
          <w:p w:rsidR="009315B2" w:rsidRPr="007F4548" w:rsidRDefault="009315B2" w:rsidP="007F4548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7F4548">
              <w:rPr>
                <w:rFonts w:ascii="Gill Sans MT" w:hAnsi="Gill Sans MT"/>
                <w:i/>
                <w:noProof/>
                <w:color w:val="FFFFFF" w:themeColor="background1"/>
                <w:sz w:val="20"/>
                <w:szCs w:val="18"/>
              </w:rPr>
              <w:t>Obrazloženje ako je odabrano „Ne”</w:t>
            </w:r>
          </w:p>
        </w:tc>
        <w:tc>
          <w:tcPr>
            <w:tcW w:w="4253" w:type="dxa"/>
            <w:shd w:val="clear" w:color="auto" w:fill="2C398B"/>
            <w:vAlign w:val="center"/>
          </w:tcPr>
          <w:p w:rsidR="009315B2" w:rsidRPr="007F4548" w:rsidRDefault="009315B2" w:rsidP="007F4548">
            <w:pPr>
              <w:spacing w:after="0" w:line="240" w:lineRule="auto"/>
              <w:jc w:val="center"/>
              <w:rPr>
                <w:rFonts w:ascii="Gill Sans MT" w:hAnsi="Gill Sans MT"/>
                <w:i/>
                <w:noProof/>
                <w:color w:val="FFFFFF" w:themeColor="background1"/>
                <w:sz w:val="20"/>
                <w:szCs w:val="18"/>
              </w:rPr>
            </w:pPr>
            <w:r w:rsidRPr="007F4548">
              <w:rPr>
                <w:rFonts w:ascii="Gill Sans MT" w:hAnsi="Gill Sans MT"/>
                <w:b/>
                <w:i/>
                <w:iCs/>
                <w:noProof/>
                <w:color w:val="FFFFFF" w:themeColor="background1"/>
                <w:sz w:val="20"/>
                <w:szCs w:val="18"/>
              </w:rPr>
              <w:t>Obrazloženje sukladnosti projektnog prijedloga s navedenim načelima  (ispunjava prijavitelj)</w:t>
            </w:r>
          </w:p>
        </w:tc>
      </w:tr>
      <w:tr w:rsidR="000D2C79" w:rsidRPr="00DD07B0" w:rsidTr="007F4548">
        <w:tc>
          <w:tcPr>
            <w:tcW w:w="3397" w:type="dxa"/>
            <w:shd w:val="clear" w:color="auto" w:fill="auto"/>
          </w:tcPr>
          <w:p w:rsidR="000D2C79" w:rsidRPr="007F4548" w:rsidRDefault="000D2C79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>Ublažavanje klimatskih promjena</w:t>
            </w:r>
          </w:p>
        </w:tc>
        <w:tc>
          <w:tcPr>
            <w:tcW w:w="851" w:type="dxa"/>
          </w:tcPr>
          <w:p w:rsidR="000D2C79" w:rsidRPr="007F4548" w:rsidRDefault="000D2C79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>X</w:t>
            </w:r>
          </w:p>
        </w:tc>
        <w:tc>
          <w:tcPr>
            <w:tcW w:w="851" w:type="dxa"/>
          </w:tcPr>
          <w:p w:rsidR="000D2C79" w:rsidRPr="007F4548" w:rsidRDefault="000D2C79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4535" w:type="dxa"/>
          </w:tcPr>
          <w:p w:rsidR="000D2C79" w:rsidRPr="007F4548" w:rsidRDefault="000D2C79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4253" w:type="dxa"/>
          </w:tcPr>
          <w:p w:rsidR="000D2C79" w:rsidRPr="007F4548" w:rsidRDefault="006D22A4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>Ne ispunjavati</w:t>
            </w:r>
            <w:r w:rsidR="00DB2EFB" w:rsidRPr="007F4548">
              <w:rPr>
                <w:rFonts w:ascii="Gill Sans MT" w:hAnsi="Gill Sans MT"/>
                <w:sz w:val="20"/>
                <w:szCs w:val="18"/>
              </w:rPr>
              <w:t>*</w:t>
            </w:r>
          </w:p>
        </w:tc>
      </w:tr>
      <w:tr w:rsidR="009315B2" w:rsidRPr="00DD07B0" w:rsidTr="007F4548">
        <w:tc>
          <w:tcPr>
            <w:tcW w:w="3397" w:type="dxa"/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>Prilagodba klimatskim promjenama</w:t>
            </w:r>
          </w:p>
        </w:tc>
        <w:tc>
          <w:tcPr>
            <w:tcW w:w="851" w:type="dxa"/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>X</w:t>
            </w:r>
          </w:p>
        </w:tc>
        <w:tc>
          <w:tcPr>
            <w:tcW w:w="851" w:type="dxa"/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4535" w:type="dxa"/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4253" w:type="dxa"/>
          </w:tcPr>
          <w:p w:rsidR="009315B2" w:rsidRPr="007F4548" w:rsidRDefault="006D22A4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>Ne ispunjavati</w:t>
            </w:r>
            <w:r w:rsidR="00DB2EFB" w:rsidRPr="007F4548">
              <w:rPr>
                <w:rFonts w:ascii="Gill Sans MT" w:hAnsi="Gill Sans MT"/>
                <w:sz w:val="20"/>
                <w:szCs w:val="18"/>
              </w:rPr>
              <w:t>*</w:t>
            </w:r>
          </w:p>
        </w:tc>
      </w:tr>
      <w:tr w:rsidR="009315B2" w:rsidRPr="00DD07B0" w:rsidTr="007F4548">
        <w:tc>
          <w:tcPr>
            <w:tcW w:w="3397" w:type="dxa"/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 xml:space="preserve">Održivo korištenje i zaštita vodnih i morskih resursa </w:t>
            </w:r>
          </w:p>
        </w:tc>
        <w:tc>
          <w:tcPr>
            <w:tcW w:w="851" w:type="dxa"/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>X</w:t>
            </w:r>
          </w:p>
        </w:tc>
        <w:tc>
          <w:tcPr>
            <w:tcW w:w="851" w:type="dxa"/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4535" w:type="dxa"/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4253" w:type="dxa"/>
          </w:tcPr>
          <w:p w:rsidR="009315B2" w:rsidRPr="007F4548" w:rsidRDefault="006D22A4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>Ne ispunjavati</w:t>
            </w:r>
            <w:r w:rsidR="00DB2EFB" w:rsidRPr="007F4548">
              <w:rPr>
                <w:rFonts w:ascii="Gill Sans MT" w:hAnsi="Gill Sans MT"/>
                <w:sz w:val="20"/>
                <w:szCs w:val="18"/>
              </w:rPr>
              <w:t>*</w:t>
            </w:r>
          </w:p>
        </w:tc>
      </w:tr>
      <w:tr w:rsidR="009315B2" w:rsidRPr="00DD07B0" w:rsidTr="007F4548">
        <w:tc>
          <w:tcPr>
            <w:tcW w:w="3397" w:type="dxa"/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>Kružno gospodarstvo, uključujući sprečavanje nastanka i recikliranje otpada</w:t>
            </w:r>
          </w:p>
        </w:tc>
        <w:tc>
          <w:tcPr>
            <w:tcW w:w="851" w:type="dxa"/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851" w:type="dxa"/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>X</w:t>
            </w:r>
          </w:p>
        </w:tc>
        <w:tc>
          <w:tcPr>
            <w:tcW w:w="4535" w:type="dxa"/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>Mjera je prihvatljiva za intervenciju oznake 042 u Prilogu Uredbe o uspostavi Mehanizma za oporavak i otpornost s koeficijentom od 100% za izračun potpore za okolišne ciljeve.</w:t>
            </w:r>
          </w:p>
          <w:p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 xml:space="preserve">Cilj mjere i priroda intervencije izravno podupiru cilj kružnog gospodarstva. Tehničke specifikacije potpore postrojenjima za recikliranje uvjetovane su ostvarivanjem stope konverzije od 50%. </w:t>
            </w:r>
          </w:p>
        </w:tc>
        <w:tc>
          <w:tcPr>
            <w:tcW w:w="4253" w:type="dxa"/>
          </w:tcPr>
          <w:p w:rsidR="00DB2EFB" w:rsidRPr="007F4548" w:rsidRDefault="00DB2EFB" w:rsidP="007F4548">
            <w:pPr>
              <w:pStyle w:val="NormalKomponente"/>
              <w:spacing w:before="0" w:after="0" w:line="240" w:lineRule="auto"/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18"/>
                <w:u w:val="single"/>
              </w:rPr>
            </w:pPr>
            <w:r w:rsidRPr="007F4548"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18"/>
                <w:u w:val="single"/>
              </w:rPr>
              <w:t>Obrazloženje ISPUNJAVA PRIJAVITELJ:</w:t>
            </w:r>
          </w:p>
          <w:p w:rsidR="009315B2" w:rsidRPr="007F4548" w:rsidRDefault="00DB2EFB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 w:cs="Arial"/>
                <w:i/>
                <w:noProof/>
                <w:color w:val="FF0000"/>
                <w:sz w:val="20"/>
                <w:szCs w:val="18"/>
              </w:rPr>
              <w:t>Opisati na koji način konkretan projektni prijedlog  zadovoljava navedena načela i</w:t>
            </w:r>
            <w:r w:rsidRPr="007F4548">
              <w:rPr>
                <w:rFonts w:ascii="Gill Sans MT" w:hAnsi="Gill Sans MT" w:cs="Arial"/>
                <w:i/>
                <w:color w:val="FF0000"/>
                <w:sz w:val="20"/>
                <w:szCs w:val="18"/>
              </w:rPr>
              <w:t xml:space="preserve"> pozvati se na dokumente i provedene procedure kojima se potvrđuje sukladnost projektnog prijedloga s navedenim načelima.</w:t>
            </w:r>
          </w:p>
        </w:tc>
      </w:tr>
      <w:tr w:rsidR="00072DE0" w:rsidRPr="00DD07B0" w:rsidTr="007F4548">
        <w:trPr>
          <w:trHeight w:val="325"/>
        </w:trPr>
        <w:tc>
          <w:tcPr>
            <w:tcW w:w="3397" w:type="dxa"/>
          </w:tcPr>
          <w:p w:rsidR="00072DE0" w:rsidRPr="007F4548" w:rsidRDefault="00072DE0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lastRenderedPageBreak/>
              <w:t>Sprječavanje i kontrola onečišćenja zraka, vode ili tla</w:t>
            </w:r>
          </w:p>
        </w:tc>
        <w:tc>
          <w:tcPr>
            <w:tcW w:w="851" w:type="dxa"/>
          </w:tcPr>
          <w:p w:rsidR="00072DE0" w:rsidRPr="007F4548" w:rsidRDefault="00072DE0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851" w:type="dxa"/>
          </w:tcPr>
          <w:p w:rsidR="00072DE0" w:rsidRPr="007F4548" w:rsidRDefault="00072DE0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>X</w:t>
            </w:r>
          </w:p>
        </w:tc>
        <w:tc>
          <w:tcPr>
            <w:tcW w:w="4535" w:type="dxa"/>
          </w:tcPr>
          <w:p w:rsidR="00072DE0" w:rsidRPr="007F4548" w:rsidRDefault="00F17221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>Postrojenja za oporabu materijala ne zahtijevaju temeljitu procjenu u smislu načela „Ne nanosi značajnu štetu“ vezano uz sprječavanje i kontrolu onečišćenja.</w:t>
            </w:r>
          </w:p>
        </w:tc>
        <w:tc>
          <w:tcPr>
            <w:tcW w:w="4253" w:type="dxa"/>
          </w:tcPr>
          <w:p w:rsidR="00DB2EFB" w:rsidRPr="007F4548" w:rsidRDefault="00DB2EFB" w:rsidP="007F4548">
            <w:pPr>
              <w:pStyle w:val="NormalKomponente"/>
              <w:spacing w:after="0" w:line="240" w:lineRule="auto"/>
              <w:jc w:val="left"/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18"/>
              </w:rPr>
            </w:pPr>
            <w:r w:rsidRPr="007F4548"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18"/>
              </w:rPr>
              <w:t>Obrazloženje ISPUNJAVA PRIJAVITELJ:</w:t>
            </w:r>
          </w:p>
          <w:p w:rsidR="00072DE0" w:rsidRPr="007F4548" w:rsidRDefault="00DB2EFB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 w:cs="Arial"/>
                <w:i/>
                <w:noProof/>
                <w:color w:val="FF0000"/>
                <w:sz w:val="20"/>
                <w:szCs w:val="18"/>
              </w:rPr>
              <w:t>Opisati na koji način konkretan projektni prijedlog  zadovoljava navedena načela i pozvati se na dokumente i provedene procedure kojima se potvrđuje sukladnost projektnog prijedloga s navedenim načelima.</w:t>
            </w:r>
          </w:p>
        </w:tc>
      </w:tr>
      <w:tr w:rsidR="009315B2" w:rsidRPr="00DD07B0" w:rsidTr="007F4548">
        <w:tc>
          <w:tcPr>
            <w:tcW w:w="3397" w:type="dxa"/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>Zaštita i obnova biološke raznolikosti i ekosustava</w:t>
            </w:r>
          </w:p>
        </w:tc>
        <w:tc>
          <w:tcPr>
            <w:tcW w:w="851" w:type="dxa"/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>X</w:t>
            </w:r>
          </w:p>
        </w:tc>
        <w:tc>
          <w:tcPr>
            <w:tcW w:w="851" w:type="dxa"/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4535" w:type="dxa"/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4253" w:type="dxa"/>
          </w:tcPr>
          <w:p w:rsidR="009315B2" w:rsidRPr="007F4548" w:rsidRDefault="006D22A4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F4548">
              <w:rPr>
                <w:rFonts w:ascii="Gill Sans MT" w:hAnsi="Gill Sans MT"/>
                <w:sz w:val="20"/>
                <w:szCs w:val="18"/>
              </w:rPr>
              <w:t>Ne ispunjavati</w:t>
            </w:r>
            <w:r w:rsidR="007B4543" w:rsidRPr="007F4548">
              <w:rPr>
                <w:rFonts w:ascii="Gill Sans MT" w:hAnsi="Gill Sans MT"/>
                <w:sz w:val="20"/>
                <w:szCs w:val="18"/>
              </w:rPr>
              <w:t>*</w:t>
            </w:r>
          </w:p>
        </w:tc>
      </w:tr>
    </w:tbl>
    <w:p w:rsidR="009315B2" w:rsidRPr="007F4548" w:rsidRDefault="009315B2" w:rsidP="004E0AED">
      <w:pPr>
        <w:rPr>
          <w:rFonts w:ascii="Gill Sans MT" w:hAnsi="Gill Sans MT" w:cs="Arial"/>
          <w:b/>
          <w:bCs/>
          <w:szCs w:val="20"/>
        </w:rPr>
      </w:pPr>
    </w:p>
    <w:p w:rsidR="009315B2" w:rsidRPr="007F4548" w:rsidRDefault="009315B2" w:rsidP="004E0AED">
      <w:pPr>
        <w:rPr>
          <w:rFonts w:ascii="Gill Sans MT" w:hAnsi="Gill Sans MT" w:cs="Arial"/>
          <w:b/>
          <w:bCs/>
          <w:szCs w:val="20"/>
        </w:rPr>
      </w:pPr>
    </w:p>
    <w:p w:rsidR="009315B2" w:rsidRPr="007F4548" w:rsidRDefault="009315B2" w:rsidP="004E0AED">
      <w:pPr>
        <w:rPr>
          <w:rFonts w:ascii="Gill Sans MT" w:hAnsi="Gill Sans MT" w:cs="Arial"/>
          <w:b/>
          <w:bCs/>
          <w:szCs w:val="20"/>
        </w:rPr>
      </w:pPr>
    </w:p>
    <w:p w:rsidR="009315B2" w:rsidRPr="007F4548" w:rsidRDefault="009315B2" w:rsidP="004E0AED">
      <w:pPr>
        <w:rPr>
          <w:rFonts w:ascii="Gill Sans MT" w:hAnsi="Gill Sans MT" w:cs="Arial"/>
          <w:b/>
          <w:bCs/>
          <w:szCs w:val="20"/>
        </w:rPr>
      </w:pPr>
    </w:p>
    <w:p w:rsidR="009315B2" w:rsidRPr="007F4548" w:rsidRDefault="009315B2" w:rsidP="004E0AED">
      <w:pPr>
        <w:rPr>
          <w:rFonts w:ascii="Gill Sans MT" w:hAnsi="Gill Sans MT" w:cs="Arial"/>
          <w:b/>
          <w:bCs/>
          <w:szCs w:val="20"/>
        </w:rPr>
      </w:pPr>
    </w:p>
    <w:p w:rsidR="007B4543" w:rsidRPr="007F4548" w:rsidRDefault="007B4543" w:rsidP="00DB2EFB">
      <w:pPr>
        <w:rPr>
          <w:rFonts w:ascii="Gill Sans MT" w:hAnsi="Gill Sans MT" w:cs="Arial"/>
          <w:b/>
          <w:bCs/>
          <w:i/>
          <w:sz w:val="20"/>
          <w:szCs w:val="20"/>
          <w:u w:val="single"/>
        </w:rPr>
      </w:pPr>
    </w:p>
    <w:p w:rsidR="00DB2EFB" w:rsidRPr="007F4548" w:rsidRDefault="007B4543" w:rsidP="00DB2EFB">
      <w:pPr>
        <w:rPr>
          <w:rFonts w:ascii="Gill Sans MT" w:hAnsi="Gill Sans MT" w:cs="Arial"/>
          <w:b/>
          <w:bCs/>
          <w:i/>
          <w:sz w:val="20"/>
          <w:szCs w:val="20"/>
          <w:u w:val="single"/>
        </w:rPr>
      </w:pPr>
      <w:r w:rsidRPr="007F4548">
        <w:rPr>
          <w:rFonts w:ascii="Gill Sans MT" w:hAnsi="Gill Sans MT" w:cs="Arial"/>
          <w:b/>
          <w:bCs/>
          <w:i/>
          <w:sz w:val="20"/>
          <w:szCs w:val="20"/>
          <w:u w:val="single"/>
        </w:rPr>
        <w:t>*</w:t>
      </w:r>
      <w:r w:rsidR="00DB2EFB" w:rsidRPr="007F4548">
        <w:rPr>
          <w:rFonts w:ascii="Gill Sans MT" w:hAnsi="Gill Sans MT" w:cs="Arial"/>
          <w:b/>
          <w:bCs/>
          <w:i/>
          <w:sz w:val="20"/>
          <w:szCs w:val="20"/>
          <w:u w:val="single"/>
        </w:rPr>
        <w:t xml:space="preserve"> Ovaj dio prijavitelj </w:t>
      </w:r>
      <w:r w:rsidRPr="007F4548">
        <w:rPr>
          <w:rFonts w:ascii="Gill Sans MT" w:hAnsi="Gill Sans MT" w:cs="Arial"/>
          <w:b/>
          <w:bCs/>
          <w:i/>
          <w:sz w:val="20"/>
          <w:szCs w:val="20"/>
          <w:u w:val="single"/>
        </w:rPr>
        <w:t>I</w:t>
      </w:r>
      <w:r w:rsidR="00DB2EFB" w:rsidRPr="007F4548">
        <w:rPr>
          <w:rFonts w:ascii="Gill Sans MT" w:hAnsi="Gill Sans MT" w:cs="Arial"/>
          <w:b/>
          <w:bCs/>
          <w:i/>
          <w:sz w:val="20"/>
          <w:szCs w:val="20"/>
          <w:u w:val="single"/>
        </w:rPr>
        <w:t>spunjava i obrazlaže u Kontrolnoj listi 2</w:t>
      </w:r>
    </w:p>
    <w:p w:rsidR="00072DE0" w:rsidRPr="007F4548" w:rsidRDefault="00072DE0" w:rsidP="004E0AED">
      <w:pPr>
        <w:rPr>
          <w:rFonts w:ascii="Gill Sans MT" w:hAnsi="Gill Sans MT" w:cs="Arial"/>
          <w:b/>
          <w:bCs/>
          <w:szCs w:val="20"/>
        </w:rPr>
      </w:pPr>
    </w:p>
    <w:p w:rsidR="004E0AED" w:rsidRPr="007F4548" w:rsidRDefault="004E0AED" w:rsidP="004E0AED">
      <w:pPr>
        <w:rPr>
          <w:rFonts w:ascii="Gill Sans MT" w:hAnsi="Gill Sans MT" w:cs="Arial"/>
          <w:b/>
          <w:bCs/>
          <w:szCs w:val="20"/>
        </w:rPr>
      </w:pPr>
      <w:r w:rsidRPr="007F4548">
        <w:rPr>
          <w:rFonts w:ascii="Gill Sans MT" w:hAnsi="Gill Sans MT" w:cs="Arial"/>
          <w:b/>
          <w:bCs/>
          <w:szCs w:val="20"/>
        </w:rPr>
        <w:t>Kontrolna lista 2</w:t>
      </w:r>
      <w:r w:rsidR="002362BD" w:rsidRPr="007F4548">
        <w:rPr>
          <w:rFonts w:ascii="Gill Sans MT" w:hAnsi="Gill Sans MT"/>
          <w:sz w:val="18"/>
          <w:szCs w:val="18"/>
          <w:highlight w:val="yellow"/>
        </w:rPr>
        <w:t xml:space="preserve"> </w:t>
      </w:r>
    </w:p>
    <w:tbl>
      <w:tblPr>
        <w:tblStyle w:val="Reetkatablice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397"/>
        <w:gridCol w:w="876"/>
        <w:gridCol w:w="5361"/>
        <w:gridCol w:w="4253"/>
      </w:tblGrid>
      <w:tr w:rsidR="009315B2" w:rsidRPr="00DD07B0" w:rsidTr="007F4548">
        <w:tc>
          <w:tcPr>
            <w:tcW w:w="339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  <w:vAlign w:val="center"/>
          </w:tcPr>
          <w:p w:rsidR="009315B2" w:rsidRPr="007F4548" w:rsidRDefault="009315B2" w:rsidP="007F4548">
            <w:pPr>
              <w:pStyle w:val="NormalKomponente"/>
              <w:spacing w:line="240" w:lineRule="auto"/>
              <w:jc w:val="center"/>
              <w:rPr>
                <w:rFonts w:ascii="Gill Sans MT" w:hAnsi="Gill Sans MT"/>
                <w:i/>
                <w:iCs/>
                <w:color w:val="FFFFFF" w:themeColor="background1"/>
                <w:sz w:val="20"/>
                <w:szCs w:val="20"/>
              </w:rPr>
            </w:pPr>
            <w:r w:rsidRPr="007F4548">
              <w:rPr>
                <w:rFonts w:ascii="Gill Sans MT" w:hAnsi="Gill Sans MT"/>
                <w:i/>
                <w:iCs/>
                <w:color w:val="FFFFFF" w:themeColor="background1"/>
                <w:sz w:val="20"/>
                <w:szCs w:val="20"/>
              </w:rPr>
              <w:t>Pitanje</w:t>
            </w:r>
          </w:p>
        </w:tc>
        <w:tc>
          <w:tcPr>
            <w:tcW w:w="876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  <w:vAlign w:val="center"/>
          </w:tcPr>
          <w:p w:rsidR="009315B2" w:rsidRPr="007F4548" w:rsidRDefault="009315B2" w:rsidP="007F4548">
            <w:pPr>
              <w:pStyle w:val="NormalKomponente"/>
              <w:spacing w:line="240" w:lineRule="auto"/>
              <w:jc w:val="center"/>
              <w:rPr>
                <w:rFonts w:ascii="Gill Sans MT" w:hAnsi="Gill Sans MT"/>
                <w:i/>
                <w:iCs/>
                <w:color w:val="FFFFFF" w:themeColor="background1"/>
                <w:sz w:val="20"/>
                <w:szCs w:val="20"/>
              </w:rPr>
            </w:pPr>
            <w:r w:rsidRPr="007F4548">
              <w:rPr>
                <w:rFonts w:ascii="Gill Sans MT" w:hAnsi="Gill Sans MT"/>
                <w:i/>
                <w:iCs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5361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  <w:vAlign w:val="center"/>
          </w:tcPr>
          <w:p w:rsidR="009315B2" w:rsidRPr="007F4548" w:rsidRDefault="009315B2" w:rsidP="007F4548">
            <w:pPr>
              <w:pStyle w:val="NormalKomponente"/>
              <w:spacing w:line="240" w:lineRule="auto"/>
              <w:jc w:val="center"/>
              <w:rPr>
                <w:rFonts w:ascii="Gill Sans MT" w:hAnsi="Gill Sans MT"/>
                <w:i/>
                <w:iCs/>
                <w:color w:val="FFFFFF" w:themeColor="background1"/>
                <w:sz w:val="20"/>
                <w:szCs w:val="20"/>
              </w:rPr>
            </w:pPr>
            <w:r w:rsidRPr="007F4548">
              <w:rPr>
                <w:rFonts w:ascii="Gill Sans MT" w:hAnsi="Gill Sans MT"/>
                <w:i/>
                <w:noProof/>
                <w:color w:val="FFFFFF" w:themeColor="background1"/>
                <w:sz w:val="20"/>
                <w:szCs w:val="20"/>
              </w:rPr>
              <w:t>Materijalno obrazloženje</w:t>
            </w:r>
          </w:p>
        </w:tc>
        <w:tc>
          <w:tcPr>
            <w:tcW w:w="4253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  <w:vAlign w:val="center"/>
          </w:tcPr>
          <w:p w:rsidR="009315B2" w:rsidRPr="007F4548" w:rsidRDefault="00E96794" w:rsidP="007F4548">
            <w:pPr>
              <w:pStyle w:val="NormalKomponente"/>
              <w:spacing w:line="240" w:lineRule="auto"/>
              <w:jc w:val="center"/>
              <w:rPr>
                <w:rFonts w:ascii="Gill Sans MT" w:hAnsi="Gill Sans MT"/>
                <w:i/>
                <w:noProof/>
                <w:color w:val="FFFFFF" w:themeColor="background1"/>
                <w:sz w:val="20"/>
                <w:szCs w:val="20"/>
              </w:rPr>
            </w:pPr>
            <w:r w:rsidRPr="007F4548">
              <w:rPr>
                <w:rFonts w:ascii="Gill Sans MT" w:hAnsi="Gill Sans MT"/>
                <w:b/>
                <w:i/>
                <w:iCs/>
                <w:noProof/>
                <w:color w:val="FFFFFF" w:themeColor="background1"/>
                <w:sz w:val="20"/>
                <w:szCs w:val="20"/>
              </w:rPr>
              <w:t>Obrazloženje sukladnosti projektnog prijedloga s navedenim načelima  (ispunjava prijavitelj)</w:t>
            </w:r>
          </w:p>
        </w:tc>
      </w:tr>
      <w:tr w:rsidR="002362BD" w:rsidRPr="00DD07B0" w:rsidTr="007F4548">
        <w:trPr>
          <w:trHeight w:val="1408"/>
        </w:trPr>
        <w:tc>
          <w:tcPr>
            <w:tcW w:w="339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2362BD" w:rsidRPr="007F4548" w:rsidRDefault="002362BD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Ublažavanje klimatskih promjena: Očekuje li se da će mjera dovesti do značajnih emisija stakleničkih plinova?</w:t>
            </w:r>
          </w:p>
        </w:tc>
        <w:tc>
          <w:tcPr>
            <w:tcW w:w="876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2362BD" w:rsidRPr="007F4548" w:rsidRDefault="002362BD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5361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2362BD" w:rsidRPr="007F4548" w:rsidRDefault="002362BD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Gdje je moguće, mjera će rezultirati sekundarnim sirovinama pogodnima za zamjenu nerecikliranih materijala u proizvodnim procesima.</w:t>
            </w:r>
          </w:p>
          <w:p w:rsidR="002362BD" w:rsidRPr="007F4548" w:rsidRDefault="002362BD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 xml:space="preserve">Najmanje 50%, u smislu težine, odvojeno </w:t>
            </w:r>
            <w:r w:rsidR="00B94CB0" w:rsidRPr="007F4548">
              <w:rPr>
                <w:rFonts w:ascii="Gill Sans MT" w:hAnsi="Gill Sans MT"/>
                <w:sz w:val="20"/>
                <w:szCs w:val="20"/>
              </w:rPr>
              <w:t xml:space="preserve">sakupljenog </w:t>
            </w:r>
            <w:r w:rsidRPr="007F4548">
              <w:rPr>
                <w:rFonts w:ascii="Gill Sans MT" w:hAnsi="Gill Sans MT"/>
                <w:sz w:val="20"/>
                <w:szCs w:val="20"/>
              </w:rPr>
              <w:t xml:space="preserve">neopasnog </w:t>
            </w:r>
            <w:r w:rsidR="00B94CB0" w:rsidRPr="007F4548">
              <w:rPr>
                <w:rFonts w:ascii="Gill Sans MT" w:hAnsi="Gill Sans MT"/>
                <w:sz w:val="20"/>
                <w:szCs w:val="20"/>
              </w:rPr>
              <w:t>komunalnog otpada</w:t>
            </w:r>
            <w:r w:rsidR="005C7834" w:rsidRPr="007F4548">
              <w:rPr>
                <w:rFonts w:ascii="Gill Sans MT" w:hAnsi="Gill Sans MT"/>
                <w:sz w:val="20"/>
                <w:szCs w:val="20"/>
              </w:rPr>
              <w:t xml:space="preserve"> zaprimljenog u postrojenje </w:t>
            </w:r>
            <w:r w:rsidRPr="007F4548">
              <w:rPr>
                <w:rFonts w:ascii="Gill Sans MT" w:hAnsi="Gill Sans MT"/>
                <w:sz w:val="20"/>
                <w:szCs w:val="20"/>
              </w:rPr>
              <w:t xml:space="preserve">će biti </w:t>
            </w:r>
            <w:r w:rsidR="00B94CB0" w:rsidRPr="007F4548">
              <w:rPr>
                <w:rFonts w:ascii="Gill Sans MT" w:hAnsi="Gill Sans MT"/>
                <w:sz w:val="20"/>
                <w:szCs w:val="20"/>
              </w:rPr>
              <w:t>pripremljeno za recikliranje.</w:t>
            </w:r>
          </w:p>
        </w:tc>
        <w:tc>
          <w:tcPr>
            <w:tcW w:w="4253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7B4543" w:rsidRPr="007F4548" w:rsidRDefault="007B4543" w:rsidP="007F4548">
            <w:pPr>
              <w:pStyle w:val="NormalKomponente"/>
              <w:spacing w:after="0" w:line="240" w:lineRule="auto"/>
              <w:jc w:val="left"/>
              <w:rPr>
                <w:rFonts w:ascii="Gill Sans MT" w:hAnsi="Gill Sans MT"/>
                <w:b/>
                <w:i/>
                <w:color w:val="FF0000"/>
                <w:sz w:val="20"/>
                <w:szCs w:val="20"/>
                <w:lang w:val="hr-HR"/>
              </w:rPr>
            </w:pPr>
            <w:r w:rsidRPr="007F4548">
              <w:rPr>
                <w:rFonts w:ascii="Gill Sans MT" w:hAnsi="Gill Sans MT"/>
                <w:b/>
                <w:i/>
                <w:color w:val="FF0000"/>
                <w:sz w:val="20"/>
                <w:szCs w:val="20"/>
                <w:lang w:val="hr-HR"/>
              </w:rPr>
              <w:t>Obrazloženje ISPUNJAVA PRIJAVITELJ:</w:t>
            </w:r>
          </w:p>
          <w:p w:rsidR="002362BD" w:rsidRPr="007F4548" w:rsidRDefault="007B4543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i/>
                <w:color w:val="FF0000"/>
                <w:sz w:val="20"/>
                <w:szCs w:val="20"/>
                <w:lang w:val="hr-HR"/>
              </w:rPr>
              <w:t>Opisati na koji način konkretan projektni prijedlog  zadovoljava navedena načela i pozvati se na dokumente i provedene procedure kojima se potvrđuje sukladnost projektnog prijedloga s navedenim načelima</w:t>
            </w:r>
          </w:p>
        </w:tc>
      </w:tr>
      <w:tr w:rsidR="009315B2" w:rsidRPr="00DD07B0" w:rsidTr="007F4548">
        <w:tc>
          <w:tcPr>
            <w:tcW w:w="339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 xml:space="preserve">Prilagodba klimatskim promjenama: Očekuje li se da će mjera dovesti do povećanog štetnog utjecaja sadašnje klime i očekivane buduće klime na samu </w:t>
            </w:r>
            <w:r w:rsidRPr="007F4548">
              <w:rPr>
                <w:rFonts w:ascii="Gill Sans MT" w:hAnsi="Gill Sans MT"/>
                <w:sz w:val="20"/>
                <w:szCs w:val="20"/>
              </w:rPr>
              <w:lastRenderedPageBreak/>
              <w:t>mjeru ili na ljude, prirodu ili imovinu ?</w:t>
            </w:r>
          </w:p>
        </w:tc>
        <w:tc>
          <w:tcPr>
            <w:tcW w:w="876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lastRenderedPageBreak/>
              <w:t>X</w:t>
            </w:r>
          </w:p>
        </w:tc>
        <w:tc>
          <w:tcPr>
            <w:tcW w:w="5361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 xml:space="preserve">Kroz </w:t>
            </w:r>
            <w:r w:rsidR="000E76EF" w:rsidRPr="007F4548">
              <w:rPr>
                <w:rFonts w:ascii="Gill Sans MT" w:hAnsi="Gill Sans MT"/>
                <w:sz w:val="20"/>
                <w:szCs w:val="20"/>
              </w:rPr>
              <w:t xml:space="preserve">postupak </w:t>
            </w:r>
            <w:r w:rsidRPr="007F4548">
              <w:rPr>
                <w:rFonts w:ascii="Gill Sans MT" w:hAnsi="Gill Sans MT"/>
                <w:sz w:val="20"/>
                <w:szCs w:val="20"/>
              </w:rPr>
              <w:t>PUO</w:t>
            </w:r>
            <w:r w:rsidR="000E76EF" w:rsidRPr="007F4548">
              <w:rPr>
                <w:rFonts w:ascii="Gill Sans MT" w:hAnsi="Gill Sans MT"/>
                <w:sz w:val="20"/>
                <w:szCs w:val="20"/>
              </w:rPr>
              <w:t xml:space="preserve"> ili OPUO, ukoliko je za zahvat obveza provođenja, </w:t>
            </w:r>
            <w:r w:rsidRPr="007F4548">
              <w:rPr>
                <w:rFonts w:ascii="Gill Sans MT" w:hAnsi="Gill Sans MT"/>
                <w:sz w:val="20"/>
                <w:szCs w:val="20"/>
              </w:rPr>
              <w:t xml:space="preserve">su razrađene mjere za klimatske promjene, tj. visoke temperature, ekstremne oborine i eroziju tla.  Za sve aktivnosti, na temelju klimatskih projekcija provedena je snažna </w:t>
            </w:r>
            <w:r w:rsidRPr="007F4548">
              <w:rPr>
                <w:rFonts w:ascii="Gill Sans MT" w:hAnsi="Gill Sans MT"/>
                <w:sz w:val="20"/>
                <w:szCs w:val="20"/>
              </w:rPr>
              <w:lastRenderedPageBreak/>
              <w:t>procjena klimatskih rizika i ranjivosti. Zaključci procjene</w:t>
            </w:r>
            <w:r w:rsidR="000E76EF" w:rsidRPr="007F4548">
              <w:rPr>
                <w:rFonts w:ascii="Gill Sans MT" w:hAnsi="Gill Sans MT"/>
                <w:sz w:val="20"/>
                <w:szCs w:val="20"/>
              </w:rPr>
              <w:t xml:space="preserve"> ili ocjene </w:t>
            </w:r>
            <w:r w:rsidRPr="007F4548">
              <w:rPr>
                <w:rFonts w:ascii="Gill Sans MT" w:hAnsi="Gill Sans MT"/>
                <w:sz w:val="20"/>
                <w:szCs w:val="20"/>
              </w:rPr>
              <w:t>su ugrađeni u oblikovanje mjere.</w:t>
            </w:r>
            <w:r w:rsidR="000E76EF" w:rsidRPr="007F4548">
              <w:rPr>
                <w:rFonts w:ascii="Gill Sans MT" w:hAnsi="Gill Sans MT"/>
                <w:sz w:val="20"/>
                <w:szCs w:val="20"/>
              </w:rPr>
              <w:t xml:space="preserve">  </w:t>
            </w:r>
          </w:p>
          <w:p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Obveza uključuje da projekti neće štetno djelovati na napore na prilagodbi ili na razinu otpornosti na fizičke i klimatske rizike drugih ljudi, prirodnu imovinu i ostale ekonomske aktivnosti i da su usklađeni s lokalnim, sektorskim, regionalnim ili nacionalnim naporima na prilagodbi.</w:t>
            </w:r>
            <w:r w:rsidR="000E76EF" w:rsidRPr="007F4548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7B4543" w:rsidRPr="007F4548" w:rsidRDefault="007B4543" w:rsidP="007F4548">
            <w:pPr>
              <w:pStyle w:val="NormalKomponente"/>
              <w:spacing w:after="0" w:line="240" w:lineRule="auto"/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20"/>
                <w:u w:val="single"/>
              </w:rPr>
            </w:pPr>
            <w:r w:rsidRPr="007F4548"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20"/>
                <w:u w:val="single"/>
              </w:rPr>
              <w:lastRenderedPageBreak/>
              <w:t>Obrazloženje ISPUNJAVA PRIJAVITELJ:</w:t>
            </w:r>
          </w:p>
          <w:p w:rsidR="009315B2" w:rsidRPr="007F4548" w:rsidRDefault="007B4543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 w:cs="Arial"/>
                <w:i/>
                <w:noProof/>
                <w:color w:val="FF0000"/>
                <w:sz w:val="20"/>
                <w:szCs w:val="20"/>
              </w:rPr>
              <w:t xml:space="preserve">Opisati na koji način konkretan projektni prijedlog  zadovoljava navedena načela i pozvati se na dokumente i provedene procedure kojima se potvrđuje </w:t>
            </w:r>
            <w:r w:rsidRPr="007F4548">
              <w:rPr>
                <w:rFonts w:ascii="Gill Sans MT" w:hAnsi="Gill Sans MT" w:cs="Arial"/>
                <w:i/>
                <w:noProof/>
                <w:color w:val="FF0000"/>
                <w:sz w:val="20"/>
                <w:szCs w:val="20"/>
              </w:rPr>
              <w:lastRenderedPageBreak/>
              <w:t>sukladnost projektnog prijedloga s navedenim načelima</w:t>
            </w:r>
          </w:p>
        </w:tc>
      </w:tr>
      <w:tr w:rsidR="009315B2" w:rsidRPr="00DD07B0" w:rsidTr="007F4548">
        <w:tc>
          <w:tcPr>
            <w:tcW w:w="339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lastRenderedPageBreak/>
              <w:t xml:space="preserve">Održivo korištenje i zaštita vodnih i morskih resursa: Očekuje li se da će mjera štetiti: </w:t>
            </w:r>
          </w:p>
          <w:p w:rsidR="009315B2" w:rsidRPr="007F4548" w:rsidRDefault="009315B2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 xml:space="preserve">(i) dobrom stanju ili dobrom ekološkom potencijalu vodnih tijela, uključujući površinske i </w:t>
            </w:r>
          </w:p>
          <w:p w:rsidR="009315B2" w:rsidRPr="007F4548" w:rsidRDefault="009315B2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 xml:space="preserve">podzemne vode, ili  </w:t>
            </w:r>
          </w:p>
          <w:p w:rsidR="009315B2" w:rsidRPr="007F4548" w:rsidRDefault="009315B2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20"/>
              </w:rPr>
            </w:pPr>
          </w:p>
          <w:p w:rsidR="009315B2" w:rsidRPr="007F4548" w:rsidRDefault="009315B2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(ii) dobrom stanju okoliša morskih voda?</w:t>
            </w:r>
          </w:p>
        </w:tc>
        <w:tc>
          <w:tcPr>
            <w:tcW w:w="876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5361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 xml:space="preserve">Aktivnosti koje su podržane ovom mjerom imaju neznatan predvidiv negativan utjecaj na ovaj cilj zaštite okoliša, vodeći računa i o izravnim i primarnim neizravnim utjecajima u čitavom životnom vijeku. </w:t>
            </w:r>
          </w:p>
          <w:p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Postoje dokazi da postrojenja neće rezultirati rizicima narušavanja stanja okoliša koji se odnose na očuvanje kakvoće vode i vodni stres u skladu s Okvirnom direktivom o vodama (2000/60/EZ). U skladu s Direktivom 2011/92/EU, u fazi postupka ocjene o potrebi procjene utjecaja na okoliš zaključeno je da se ne očekuju značajni utjecaji projekta.</w:t>
            </w:r>
          </w:p>
        </w:tc>
        <w:tc>
          <w:tcPr>
            <w:tcW w:w="4253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180E66" w:rsidRPr="007F4548" w:rsidRDefault="00DD07B0" w:rsidP="007F4548">
            <w:pPr>
              <w:pStyle w:val="NormalKomponente"/>
              <w:spacing w:after="0" w:line="240" w:lineRule="auto"/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20"/>
              </w:rPr>
            </w:pPr>
            <w:r w:rsidRPr="007F4548"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20"/>
              </w:rPr>
              <w:t>Obrazloženje ISPUNJAVA PRIJAVITELJ:</w:t>
            </w:r>
            <w:r w:rsidR="00180E66" w:rsidRPr="007F4548"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20"/>
              </w:rPr>
              <w:t>Obrazloženje ISPUNJAVA PRIJAVITELJ:</w:t>
            </w:r>
          </w:p>
          <w:p w:rsidR="009315B2" w:rsidRPr="007F4548" w:rsidRDefault="00180E66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 w:cs="Arial"/>
                <w:i/>
                <w:noProof/>
                <w:color w:val="FF0000"/>
                <w:sz w:val="20"/>
                <w:szCs w:val="20"/>
              </w:rPr>
              <w:t>Opisati na koji način konkretan projektni prijedlog  zadovoljava navedena načela i pozvati se na dokumente i provedene procedure kojima se potvrđuje sukladnost projektnog prijedloga s navedenim načelima</w:t>
            </w:r>
          </w:p>
        </w:tc>
      </w:tr>
      <w:tr w:rsidR="00AD3777" w:rsidRPr="00DD07B0" w:rsidTr="007F4548">
        <w:tc>
          <w:tcPr>
            <w:tcW w:w="339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AD3777" w:rsidRPr="007F4548" w:rsidRDefault="00AD3777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Kružno gospodarstvo, uključujući sprečavanje nastanka i recikliranje otpada</w:t>
            </w:r>
          </w:p>
        </w:tc>
        <w:tc>
          <w:tcPr>
            <w:tcW w:w="876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AD3777" w:rsidRPr="007F4548" w:rsidRDefault="00AD3777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5361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AD3777" w:rsidRPr="007F4548" w:rsidRDefault="00AD3777" w:rsidP="007F4548">
            <w:pPr>
              <w:pStyle w:val="NormalKomponente"/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Mjera je prihvatljiva za intervenciju oznake 042 u Prilogu Uredbe o uspostavi Mehanizma za oporavak i otpornost s   koeficijentom od 100% za izračun potpore za okolišne ciljeve.</w:t>
            </w:r>
          </w:p>
          <w:p w:rsidR="00AD3777" w:rsidRPr="007F4548" w:rsidRDefault="00AD3777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Cilj mjere i priroda intervencije izravno podupiru cilj kružnog gospodarstva. Tehničke specifikacije potpore postrojenjima za recikliranje uvjetovane su ostvarivanjem stope konverzije od 50%.</w:t>
            </w:r>
          </w:p>
        </w:tc>
        <w:tc>
          <w:tcPr>
            <w:tcW w:w="4253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180E66" w:rsidRPr="007F4548" w:rsidRDefault="00180E66" w:rsidP="007F4548">
            <w:pPr>
              <w:pStyle w:val="NormalKomponente"/>
              <w:spacing w:after="0" w:line="240" w:lineRule="auto"/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20"/>
              </w:rPr>
            </w:pPr>
            <w:r w:rsidRPr="007F4548"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20"/>
              </w:rPr>
              <w:t>Obrazloženje ISPUNJAVA PRIJAVITELJ:</w:t>
            </w:r>
          </w:p>
          <w:p w:rsidR="00AD3777" w:rsidRPr="007F4548" w:rsidRDefault="00180E66" w:rsidP="007F4548">
            <w:pPr>
              <w:pStyle w:val="NormalKomponente"/>
              <w:spacing w:before="0" w:after="0" w:line="240" w:lineRule="auto"/>
              <w:rPr>
                <w:rFonts w:ascii="Gill Sans MT" w:hAnsi="Gill Sans MT" w:cs="Arial"/>
                <w:i/>
                <w:noProof/>
                <w:sz w:val="20"/>
                <w:szCs w:val="20"/>
              </w:rPr>
            </w:pPr>
            <w:r w:rsidRPr="007F4548">
              <w:rPr>
                <w:rFonts w:ascii="Gill Sans MT" w:hAnsi="Gill Sans MT" w:cs="Arial"/>
                <w:i/>
                <w:noProof/>
                <w:color w:val="FF0000"/>
                <w:sz w:val="20"/>
                <w:szCs w:val="20"/>
              </w:rPr>
              <w:t>Opisati na koji način konkretan projektni prijedlog  zadovoljava navedena načela i pozvati se na dokumente i provedene procedure kojima se potvrđuje sukladnost projektnog prijedloga s navedenim načelima</w:t>
            </w:r>
          </w:p>
        </w:tc>
      </w:tr>
      <w:tr w:rsidR="002362BD" w:rsidRPr="00DD07B0" w:rsidTr="007F4548">
        <w:trPr>
          <w:trHeight w:val="843"/>
        </w:trPr>
        <w:tc>
          <w:tcPr>
            <w:tcW w:w="339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2362BD" w:rsidRPr="007F4548" w:rsidRDefault="002362BD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Sprječavanje i kontrola onečišćenja: Očekuje li se da će mjera dovesti do značajnog povećanja emisija onečišćujućih tvari (4) u zrak, vodu ili tlo?</w:t>
            </w:r>
          </w:p>
        </w:tc>
        <w:tc>
          <w:tcPr>
            <w:tcW w:w="876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2362BD" w:rsidRPr="007F4548" w:rsidRDefault="002362BD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5361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0E76EF" w:rsidRPr="007F4548" w:rsidRDefault="000E76EF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U skladu s Direktivom 2011/92/EU i Direktivom 2014/52/EU o izmjeni Direktive 2011/92/EU o procjeni utjecaja određenih javnih i privatnih projekata na okoliš, u fazi postupka ocjene o potrebi procjene utjecaja na okoliš kako bi projekt bio prihvatljiv, mora biti zaključeno je da se ne očekuju značajni utjecaji projekta na ovaj cilj.</w:t>
            </w:r>
          </w:p>
          <w:p w:rsidR="000E76EF" w:rsidRPr="007F4548" w:rsidRDefault="000E76EF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 xml:space="preserve">Također, predloženi projekti moraju uzeti u obzir odredbe Provedbene odluke Komisije (EU) 2018/1147 </w:t>
            </w:r>
            <w:r w:rsidRPr="007F4548">
              <w:rPr>
                <w:rFonts w:ascii="Calibri" w:hAnsi="Calibri" w:cs="Calibri"/>
                <w:sz w:val="20"/>
                <w:szCs w:val="20"/>
              </w:rPr>
              <w:t>о</w:t>
            </w:r>
            <w:r w:rsidRPr="007F4548">
              <w:rPr>
                <w:rFonts w:ascii="Gill Sans MT" w:hAnsi="Gill Sans MT"/>
                <w:sz w:val="20"/>
                <w:szCs w:val="20"/>
              </w:rPr>
              <w:t>d 10.</w:t>
            </w:r>
            <w:r w:rsidRPr="007F4548">
              <w:rPr>
                <w:rFonts w:ascii="Gill Sans MT" w:hAnsi="Gill Sans MT" w:cs="Gill Sans MT"/>
                <w:sz w:val="20"/>
                <w:szCs w:val="20"/>
              </w:rPr>
              <w:t> </w:t>
            </w:r>
            <w:r w:rsidRPr="007F4548">
              <w:rPr>
                <w:rFonts w:ascii="Gill Sans MT" w:hAnsi="Gill Sans MT"/>
                <w:sz w:val="20"/>
                <w:szCs w:val="20"/>
              </w:rPr>
              <w:t>kolovoza 2018. o utvrđivanju zaključaka o najboljim raspoloživim tehnikama (NRT-i), na temelju Direktive 2010/75/EU Europskog parlamenta i Vijeća, za obradu otpada (priopćeno pod brojem dokumenta C(2018) 5070), u slučaju da su primjenjivi na njih.</w:t>
            </w:r>
          </w:p>
          <w:p w:rsidR="0003365C" w:rsidRPr="007F4548" w:rsidRDefault="000E76EF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Tijekom građevinskih radova, održavanja i rada postrojenja poduzet će se i provoditi mjere za smanjenje buke, prašine i onečišćujućih tvari na minimum i ti utjecaji su potpuno lokalizirani.</w:t>
            </w:r>
            <w:r w:rsidR="00DD07B0" w:rsidRPr="007F4548">
              <w:rPr>
                <w:rFonts w:ascii="Gill Sans MT" w:hAnsi="Gill Sans MT"/>
                <w:sz w:val="20"/>
                <w:szCs w:val="20"/>
              </w:rPr>
              <w:tab/>
            </w:r>
          </w:p>
        </w:tc>
        <w:tc>
          <w:tcPr>
            <w:tcW w:w="4253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03365C" w:rsidRPr="007F4548" w:rsidRDefault="00DD07B0" w:rsidP="007F4548">
            <w:pPr>
              <w:pStyle w:val="NormalKomponente"/>
              <w:spacing w:after="0" w:line="240" w:lineRule="auto"/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20"/>
              </w:rPr>
            </w:pPr>
            <w:r w:rsidRPr="007F4548"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20"/>
              </w:rPr>
              <w:t>Obrazloženje ISPUNJAVA PRIJAVITELJ:</w:t>
            </w:r>
            <w:r w:rsidR="0003365C" w:rsidRPr="007F4548"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20"/>
              </w:rPr>
              <w:t>Obrazloženje ISPUNJAVA PRIJAVITELJ:</w:t>
            </w:r>
          </w:p>
          <w:p w:rsidR="0003365C" w:rsidRPr="007F4548" w:rsidRDefault="0003365C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7F4548">
              <w:rPr>
                <w:rFonts w:ascii="Gill Sans MT" w:hAnsi="Gill Sans MT" w:cs="Arial"/>
                <w:i/>
                <w:noProof/>
                <w:color w:val="FF0000"/>
                <w:sz w:val="20"/>
                <w:szCs w:val="20"/>
              </w:rPr>
              <w:t>Opisati na koji način konkretan projektni prijedlog  zadovoljava navedena načela i pozvati se na dokumente i provedene procedure kojima se potvrđuje sukladnost projektnog prijedloga s navedenim načelima</w:t>
            </w:r>
          </w:p>
          <w:p w:rsidR="0003365C" w:rsidRPr="007F4548" w:rsidRDefault="0003365C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</w:tr>
      <w:tr w:rsidR="009315B2" w:rsidRPr="00DD07B0" w:rsidTr="007F4548">
        <w:tc>
          <w:tcPr>
            <w:tcW w:w="339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Zaštita i obnova biološke raznolikosti i ekosustava:</w:t>
            </w:r>
            <w:r w:rsidRPr="007F4548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Pr="007F4548">
              <w:rPr>
                <w:rFonts w:ascii="Gill Sans MT" w:hAnsi="Gill Sans MT"/>
                <w:sz w:val="20"/>
                <w:szCs w:val="20"/>
              </w:rPr>
              <w:t xml:space="preserve">Očekuje li se da će mjera: (i) značajno štetiti dobrom stanju i otpornosti ekosustava; ili </w:t>
            </w:r>
          </w:p>
          <w:p w:rsidR="009315B2" w:rsidRPr="007F4548" w:rsidRDefault="009315B2" w:rsidP="007F4548">
            <w:pPr>
              <w:pStyle w:val="NormalKomponente"/>
              <w:spacing w:before="0" w:after="0" w:line="240" w:lineRule="auto"/>
              <w:jc w:val="left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(ii) štetiti stanju očuvanja staništa i biljnih i životinjskih vrsta, uključujući one od interesa za Uniju?</w:t>
            </w:r>
          </w:p>
        </w:tc>
        <w:tc>
          <w:tcPr>
            <w:tcW w:w="876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5361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Za svaku specifičnu investiciju, provedena je (ili će biti provedena) procjena utjecaja na okoliš (PUO) u skladu sa smjernicama EU-a vezanima uz procjenu utjecaja na okoliš (2014/52/EU) i stratešku procjenu utjecaja na okoliš (2001/42/EZ). Zaključci procjene ugrađeni su u oblikovanje mjere.</w:t>
            </w:r>
          </w:p>
          <w:p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Za lokacije/projekte koji se nalaze unutar ili u blizini područja osjetljivih na biološku raznolikost (uključujući mrežu zaštićenih područja Natura 2000, područja svjetske baštine UNESCO-a i ključna područja biološke raznolikosti (KBA), kao i druga zaštićena područja), a koja potencijalno mogu imati utjecaj na ta područja, provedena je (ili će se provesti) odgovarajuća procjena utjecaja odnosno prihvatljivosti u skladu s odredbama Strategije EU-a o biološkoj raznolikosti (COM(2011)244), Direktive o pticama (2009/147/EZ) i Direktive o staništima (92/43/EZ) na temelju ciljeva očuvanja zaštićenog područja.</w:t>
            </w:r>
          </w:p>
          <w:p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Za takve lokacije/projekte, PUO/OPEM i plan provedbe osigurat će sljedeće :</w:t>
            </w:r>
          </w:p>
          <w:p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 xml:space="preserve">• postoji plan upravljanja biološkom raznolikošću na razini lokacije koji se provodi u skladu s IFC-ovim Standardom uspješnosti 6: Očuvanje biološke raznolikosti i održivo upravljanje živim prirodnim dobrima; </w:t>
            </w:r>
          </w:p>
          <w:p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•  postoje sve potrebne mjere ublažavanja kako bi se smanjili utjecaji na vrste i staništa</w:t>
            </w:r>
          </w:p>
          <w:p w:rsidR="009315B2" w:rsidRPr="007F4548" w:rsidRDefault="009315B2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/>
                <w:sz w:val="20"/>
                <w:szCs w:val="20"/>
              </w:rPr>
              <w:t>• uspostavljen je i provodi se snažan, odgovarajuće projektiran i dugoročan program praćenja i procjene biološke raznolikosti.</w:t>
            </w:r>
          </w:p>
        </w:tc>
        <w:tc>
          <w:tcPr>
            <w:tcW w:w="4253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:rsidR="00180E66" w:rsidRPr="007F4548" w:rsidRDefault="00DD07B0" w:rsidP="007F4548">
            <w:pPr>
              <w:pStyle w:val="NormalKomponente"/>
              <w:spacing w:after="0" w:line="240" w:lineRule="auto"/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20"/>
              </w:rPr>
            </w:pPr>
            <w:r w:rsidRPr="007F4548"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20"/>
              </w:rPr>
              <w:t>Obrazloženje ISPUNJAVA PRIJAVITELJ:</w:t>
            </w:r>
            <w:r w:rsidR="00180E66" w:rsidRPr="007F4548">
              <w:rPr>
                <w:rFonts w:ascii="Gill Sans MT" w:hAnsi="Gill Sans MT" w:cs="Arial"/>
                <w:b/>
                <w:i/>
                <w:noProof/>
                <w:color w:val="FF0000"/>
                <w:sz w:val="20"/>
                <w:szCs w:val="20"/>
              </w:rPr>
              <w:t>Obrazloženje ISPUNJAVA PRIJAVITELJ:</w:t>
            </w:r>
          </w:p>
          <w:p w:rsidR="009315B2" w:rsidRPr="007F4548" w:rsidRDefault="00180E66" w:rsidP="007F4548">
            <w:pPr>
              <w:pStyle w:val="NormalKomponente"/>
              <w:spacing w:before="0"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7F4548">
              <w:rPr>
                <w:rFonts w:ascii="Gill Sans MT" w:hAnsi="Gill Sans MT" w:cs="Arial"/>
                <w:i/>
                <w:noProof/>
                <w:color w:val="FF0000"/>
                <w:sz w:val="20"/>
                <w:szCs w:val="20"/>
              </w:rPr>
              <w:t>Opisati na koji način konkretan projektni prijedlog  zadovoljava navedena načela i pozvati se na dokumente i provedene procedure kojima se potvrđuje sukladnost projektnog prijedloga s navedenim načelima</w:t>
            </w:r>
          </w:p>
        </w:tc>
      </w:tr>
    </w:tbl>
    <w:p w:rsidR="002305BA" w:rsidRPr="007F4548" w:rsidRDefault="002305BA" w:rsidP="0003365C">
      <w:pPr>
        <w:rPr>
          <w:rFonts w:ascii="Gill Sans MT" w:hAnsi="Gill Sans MT"/>
        </w:rPr>
      </w:pPr>
    </w:p>
    <w:sectPr w:rsidR="002305BA" w:rsidRPr="007F4548" w:rsidSect="009315B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E4" w:rsidRDefault="009618E4" w:rsidP="009315B2">
      <w:pPr>
        <w:spacing w:after="0" w:line="240" w:lineRule="auto"/>
      </w:pPr>
      <w:r>
        <w:separator/>
      </w:r>
    </w:p>
  </w:endnote>
  <w:endnote w:type="continuationSeparator" w:id="0">
    <w:p w:rsidR="009618E4" w:rsidRDefault="009618E4" w:rsidP="0093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29468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DD07B0" w:rsidRPr="007F4548" w:rsidRDefault="00DD07B0">
            <w:pPr>
              <w:pStyle w:val="Podnoje"/>
              <w:jc w:val="center"/>
              <w:rPr>
                <w:sz w:val="18"/>
                <w:szCs w:val="18"/>
              </w:rPr>
            </w:pPr>
            <w:r w:rsidRPr="007F4548">
              <w:rPr>
                <w:bCs/>
                <w:sz w:val="18"/>
                <w:szCs w:val="18"/>
              </w:rPr>
              <w:fldChar w:fldCharType="begin"/>
            </w:r>
            <w:r w:rsidRPr="007F4548">
              <w:rPr>
                <w:bCs/>
                <w:sz w:val="18"/>
                <w:szCs w:val="18"/>
              </w:rPr>
              <w:instrText>PAGE</w:instrText>
            </w:r>
            <w:r w:rsidRPr="007F4548">
              <w:rPr>
                <w:bCs/>
                <w:sz w:val="18"/>
                <w:szCs w:val="18"/>
              </w:rPr>
              <w:fldChar w:fldCharType="separate"/>
            </w:r>
            <w:r w:rsidR="003F581E">
              <w:rPr>
                <w:bCs/>
                <w:noProof/>
                <w:sz w:val="18"/>
                <w:szCs w:val="18"/>
              </w:rPr>
              <w:t>2</w:t>
            </w:r>
            <w:r w:rsidRPr="007F4548">
              <w:rPr>
                <w:bCs/>
                <w:sz w:val="18"/>
                <w:szCs w:val="18"/>
              </w:rPr>
              <w:fldChar w:fldCharType="end"/>
            </w:r>
            <w:r w:rsidRPr="007F4548">
              <w:rPr>
                <w:bCs/>
                <w:sz w:val="18"/>
                <w:szCs w:val="18"/>
              </w:rPr>
              <w:t>/</w:t>
            </w:r>
            <w:r w:rsidRPr="007F4548">
              <w:rPr>
                <w:bCs/>
                <w:sz w:val="18"/>
                <w:szCs w:val="18"/>
              </w:rPr>
              <w:fldChar w:fldCharType="begin"/>
            </w:r>
            <w:r w:rsidRPr="007F4548">
              <w:rPr>
                <w:bCs/>
                <w:sz w:val="18"/>
                <w:szCs w:val="18"/>
              </w:rPr>
              <w:instrText>NUMPAGES</w:instrText>
            </w:r>
            <w:r w:rsidRPr="007F4548">
              <w:rPr>
                <w:bCs/>
                <w:sz w:val="18"/>
                <w:szCs w:val="18"/>
              </w:rPr>
              <w:fldChar w:fldCharType="separate"/>
            </w:r>
            <w:r w:rsidR="003F581E">
              <w:rPr>
                <w:bCs/>
                <w:noProof/>
                <w:sz w:val="18"/>
                <w:szCs w:val="18"/>
              </w:rPr>
              <w:t>4</w:t>
            </w:r>
            <w:r w:rsidRPr="007F454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D07B0" w:rsidRDefault="00DD07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E4" w:rsidRDefault="009618E4" w:rsidP="009315B2">
      <w:pPr>
        <w:spacing w:after="0" w:line="240" w:lineRule="auto"/>
      </w:pPr>
      <w:r>
        <w:separator/>
      </w:r>
    </w:p>
  </w:footnote>
  <w:footnote w:type="continuationSeparator" w:id="0">
    <w:p w:rsidR="009618E4" w:rsidRDefault="009618E4" w:rsidP="0093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B2" w:rsidRPr="009315B2" w:rsidRDefault="009315B2" w:rsidP="00BD6AC1">
    <w:pPr>
      <w:pStyle w:val="Zaglavlje"/>
      <w:jc w:val="left"/>
      <w:rPr>
        <w:rFonts w:ascii="Gill Sans MT" w:hAnsi="Gill Sans MT"/>
        <w:color w:val="AEAAAA" w:themeColor="background2" w:themeShade="BF"/>
        <w:sz w:val="28"/>
        <w:szCs w:val="28"/>
      </w:rPr>
    </w:pPr>
    <w:r w:rsidRPr="009315B2">
      <w:rPr>
        <w:rFonts w:ascii="Gill Sans MT" w:hAnsi="Gill Sans MT"/>
        <w:color w:val="AEAAAA" w:themeColor="background2" w:themeShade="BF"/>
        <w:sz w:val="28"/>
        <w:szCs w:val="28"/>
      </w:rPr>
      <w:t xml:space="preserve">Obrazac </w:t>
    </w:r>
    <w:r w:rsidR="00BD6AC1">
      <w:rPr>
        <w:rFonts w:ascii="Gill Sans MT" w:hAnsi="Gill Sans MT"/>
        <w:color w:val="AEAAAA" w:themeColor="background2" w:themeShade="BF"/>
        <w:sz w:val="28"/>
        <w:szCs w:val="28"/>
      </w:rPr>
      <w:t>4</w:t>
    </w:r>
    <w:r w:rsidRPr="009315B2">
      <w:rPr>
        <w:rFonts w:ascii="Gill Sans MT" w:hAnsi="Gill Sans MT"/>
        <w:color w:val="AEAAAA" w:themeColor="background2" w:themeShade="BF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2439"/>
    <w:multiLevelType w:val="hybridMultilevel"/>
    <w:tmpl w:val="EF7AA792"/>
    <w:lvl w:ilvl="0" w:tplc="9D7C271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15051"/>
    <w:multiLevelType w:val="multilevel"/>
    <w:tmpl w:val="79E857A6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  <w:color w:val="2C398B"/>
      </w:rPr>
    </w:lvl>
    <w:lvl w:ilvl="1">
      <w:start w:val="1"/>
      <w:numFmt w:val="decimal"/>
      <w:pStyle w:val="Naslov2"/>
      <w:lvlText w:val="%2."/>
      <w:lvlJc w:val="left"/>
      <w:pPr>
        <w:ind w:left="1890" w:hanging="720"/>
      </w:pPr>
      <w:rPr>
        <w:rFonts w:ascii="Lucida Sans" w:hAnsi="Lucida Sans" w:hint="default"/>
        <w:color w:val="C00000"/>
      </w:rPr>
    </w:lvl>
    <w:lvl w:ilvl="2">
      <w:start w:val="1"/>
      <w:numFmt w:val="decimal"/>
      <w:lvlText w:val="%2.%3."/>
      <w:lvlJc w:val="left"/>
      <w:pPr>
        <w:ind w:left="2610" w:hanging="720"/>
      </w:pPr>
      <w:rPr>
        <w:rFonts w:ascii="Lucida Sans" w:hAnsi="Lucida San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."/>
      <w:lvlJc w:val="left"/>
      <w:pPr>
        <w:ind w:left="369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decimal"/>
      <w:lvlText w:val="%2.%3.%4.%5."/>
      <w:lvlJc w:val="left"/>
      <w:pPr>
        <w:ind w:left="441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0" w:hanging="2160"/>
      </w:pPr>
      <w:rPr>
        <w:rFonts w:hint="default"/>
      </w:rPr>
    </w:lvl>
  </w:abstractNum>
  <w:abstractNum w:abstractNumId="2" w15:restartNumberingAfterBreak="0">
    <w:nsid w:val="6B3C1E0F"/>
    <w:multiLevelType w:val="hybridMultilevel"/>
    <w:tmpl w:val="B2D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F96E0E"/>
    <w:multiLevelType w:val="hybridMultilevel"/>
    <w:tmpl w:val="D92031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C014E"/>
    <w:multiLevelType w:val="hybridMultilevel"/>
    <w:tmpl w:val="63506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67"/>
    <w:rsid w:val="0003365C"/>
    <w:rsid w:val="00036CDF"/>
    <w:rsid w:val="00072DE0"/>
    <w:rsid w:val="000D2C79"/>
    <w:rsid w:val="000E76EF"/>
    <w:rsid w:val="00180E66"/>
    <w:rsid w:val="001B6DC6"/>
    <w:rsid w:val="002305BA"/>
    <w:rsid w:val="002362BD"/>
    <w:rsid w:val="003C7D9B"/>
    <w:rsid w:val="003F581E"/>
    <w:rsid w:val="00475984"/>
    <w:rsid w:val="004E0AED"/>
    <w:rsid w:val="005359C4"/>
    <w:rsid w:val="005C7834"/>
    <w:rsid w:val="00615D6D"/>
    <w:rsid w:val="006A0BE0"/>
    <w:rsid w:val="006A12B4"/>
    <w:rsid w:val="006A7967"/>
    <w:rsid w:val="006D20D7"/>
    <w:rsid w:val="006D22A4"/>
    <w:rsid w:val="007718AB"/>
    <w:rsid w:val="007B4543"/>
    <w:rsid w:val="007C34DD"/>
    <w:rsid w:val="007F4548"/>
    <w:rsid w:val="0082123A"/>
    <w:rsid w:val="0083082B"/>
    <w:rsid w:val="00882087"/>
    <w:rsid w:val="009315B2"/>
    <w:rsid w:val="009618E4"/>
    <w:rsid w:val="00AD3777"/>
    <w:rsid w:val="00AF10FB"/>
    <w:rsid w:val="00B5619F"/>
    <w:rsid w:val="00B94CB0"/>
    <w:rsid w:val="00BA2E67"/>
    <w:rsid w:val="00BD6AC1"/>
    <w:rsid w:val="00BE1EC5"/>
    <w:rsid w:val="00BE61EB"/>
    <w:rsid w:val="00D93AC8"/>
    <w:rsid w:val="00DA1827"/>
    <w:rsid w:val="00DB2EFB"/>
    <w:rsid w:val="00DD07B0"/>
    <w:rsid w:val="00DE646F"/>
    <w:rsid w:val="00E96794"/>
    <w:rsid w:val="00F14462"/>
    <w:rsid w:val="00F17221"/>
    <w:rsid w:val="00F51E83"/>
    <w:rsid w:val="00FA4BEA"/>
    <w:rsid w:val="00FB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ED7D479-2BB6-456F-BF92-1812DF24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967"/>
    <w:pPr>
      <w:spacing w:after="120" w:line="276" w:lineRule="auto"/>
      <w:jc w:val="both"/>
    </w:pPr>
    <w:rPr>
      <w:rFonts w:ascii="Arial" w:eastAsia="Calibri" w:hAnsi="Arial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36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7967"/>
    <w:pPr>
      <w:keepNext/>
      <w:numPr>
        <w:ilvl w:val="1"/>
        <w:numId w:val="1"/>
      </w:numPr>
      <w:spacing w:before="120" w:after="240"/>
      <w:jc w:val="left"/>
      <w:outlineLvl w:val="1"/>
    </w:pPr>
    <w:rPr>
      <w:b/>
      <w:sz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35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6C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A7967"/>
    <w:rPr>
      <w:rFonts w:ascii="Arial" w:eastAsia="Calibri" w:hAnsi="Arial" w:cs="Times New Roman"/>
      <w:b/>
      <w:sz w:val="28"/>
      <w:lang w:eastAsia="hr-HR"/>
    </w:rPr>
  </w:style>
  <w:style w:type="table" w:customStyle="1" w:styleId="TableGrid1">
    <w:name w:val="Table Grid1"/>
    <w:basedOn w:val="Obinatablica"/>
    <w:next w:val="Reetkatablice"/>
    <w:uiPriority w:val="39"/>
    <w:rsid w:val="002305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23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39"/>
    <w:rsid w:val="002305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3,Akapit z listą BS,Bullet1,Bullets,Ha,Heading 11,IBL List Paragraph,L,List Paragraph (numbered (a)),List Paragraph 1,List Paragraph nowy,List Paragraph-ExecSummary,List_Paragraph,Liste 1,Multilevel para_II,ReferencesCxSpLast,l,lp1,본문(내용)"/>
    <w:basedOn w:val="Normal"/>
    <w:link w:val="OdlomakpopisaChar"/>
    <w:uiPriority w:val="34"/>
    <w:qFormat/>
    <w:rsid w:val="002305BA"/>
    <w:pPr>
      <w:spacing w:before="120" w:after="60" w:line="240" w:lineRule="auto"/>
      <w:jc w:val="left"/>
    </w:pPr>
    <w:rPr>
      <w:color w:val="000000"/>
    </w:rPr>
  </w:style>
  <w:style w:type="character" w:customStyle="1" w:styleId="OdlomakpopisaChar">
    <w:name w:val="Odlomak popisa Char"/>
    <w:aliases w:val="3 Char,Akapit z listą BS Char,Bullet1 Char,Bullets Char,Ha Char,Heading 11 Char,IBL List Paragraph Char,L Char,List Paragraph (numbered (a)) Char,List Paragraph 1 Char,List Paragraph nowy Char,List Paragraph-ExecSummary Char,l Char"/>
    <w:link w:val="Odlomakpopisa"/>
    <w:uiPriority w:val="34"/>
    <w:locked/>
    <w:rsid w:val="002305BA"/>
    <w:rPr>
      <w:rFonts w:ascii="Arial" w:eastAsia="Calibri" w:hAnsi="Arial" w:cs="Times New Roman"/>
      <w:color w:val="000000"/>
      <w:lang w:eastAsia="hr-HR"/>
    </w:rPr>
  </w:style>
  <w:style w:type="table" w:customStyle="1" w:styleId="TableGrid11">
    <w:name w:val="Table Grid11"/>
    <w:basedOn w:val="Obinatablica"/>
    <w:next w:val="Reetkatablice"/>
    <w:uiPriority w:val="39"/>
    <w:rsid w:val="002305BA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Komponente">
    <w:name w:val="Normal Komponente"/>
    <w:basedOn w:val="Normal"/>
    <w:link w:val="NormalKomponenteChar"/>
    <w:qFormat/>
    <w:rsid w:val="002305BA"/>
    <w:pPr>
      <w:widowControl w:val="0"/>
      <w:autoSpaceDE w:val="0"/>
      <w:autoSpaceDN w:val="0"/>
      <w:spacing w:before="60" w:after="60"/>
    </w:pPr>
    <w:rPr>
      <w:lang w:val="en-US"/>
    </w:rPr>
  </w:style>
  <w:style w:type="character" w:customStyle="1" w:styleId="NormalKomponenteChar">
    <w:name w:val="Normal Komponente Char"/>
    <w:link w:val="NormalKomponente"/>
    <w:rsid w:val="002305BA"/>
    <w:rPr>
      <w:rFonts w:ascii="Arial" w:eastAsia="Calibri" w:hAnsi="Arial" w:cs="Times New Roman"/>
      <w:lang w:val="en-US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6CDF"/>
    <w:rPr>
      <w:rFonts w:asciiTheme="majorHAnsi" w:eastAsiaTheme="majorEastAsia" w:hAnsiTheme="majorHAnsi" w:cstheme="majorBidi"/>
      <w:color w:val="1F4D78" w:themeColor="accent1" w:themeShade="7F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36C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359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3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15B2"/>
    <w:rPr>
      <w:rFonts w:ascii="Arial" w:eastAsia="Calibri" w:hAnsi="Arial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3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15B2"/>
    <w:rPr>
      <w:rFonts w:ascii="Arial" w:eastAsia="Calibri" w:hAnsi="Arial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5B2"/>
    <w:rPr>
      <w:rFonts w:ascii="Segoe UI" w:eastAsia="Calibri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E61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61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61EB"/>
    <w:rPr>
      <w:rFonts w:ascii="Arial" w:eastAsia="Calibri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61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61EB"/>
    <w:rPr>
      <w:rFonts w:ascii="Arial" w:eastAsia="Calibri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Emić</dc:creator>
  <cp:keywords/>
  <dc:description/>
  <cp:lastModifiedBy>Goran Vrabec</cp:lastModifiedBy>
  <cp:revision>5</cp:revision>
  <dcterms:created xsi:type="dcterms:W3CDTF">2022-11-02T10:06:00Z</dcterms:created>
  <dcterms:modified xsi:type="dcterms:W3CDTF">2022-11-02T13:34:00Z</dcterms:modified>
</cp:coreProperties>
</file>