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E3DD3AB" w14:textId="77777777" w:rsidR="008A02CC" w:rsidRDefault="00136817" w:rsidP="00136817">
      <w:pPr>
        <w:jc w:val="center"/>
        <w:rPr>
          <w:rFonts w:ascii="Times New Roman" w:hAnsi="Times New Roman" w:cs="Times New Roman"/>
          <w:b/>
          <w:sz w:val="28"/>
        </w:rPr>
      </w:pPr>
      <w:r w:rsidRPr="00243264">
        <w:rPr>
          <w:rFonts w:ascii="Times New Roman" w:hAnsi="Times New Roman" w:cs="Times New Roman"/>
          <w:b/>
          <w:sz w:val="28"/>
        </w:rPr>
        <w:t>POZIV NA DODJELU BESPOVRATNIH SREDSTAVA</w:t>
      </w:r>
      <w:r w:rsidRPr="00243264" w:rsidDel="006033F3">
        <w:rPr>
          <w:rFonts w:ascii="Times New Roman" w:hAnsi="Times New Roman" w:cs="Times New Roman"/>
          <w:b/>
          <w:sz w:val="28"/>
        </w:rPr>
        <w:t xml:space="preserve"> </w:t>
      </w:r>
    </w:p>
    <w:p w14:paraId="0E7C78CD" w14:textId="054801EE" w:rsidR="001B28C7" w:rsidRDefault="001B28C7" w:rsidP="00136817">
      <w:pPr>
        <w:spacing w:after="0"/>
        <w:jc w:val="center"/>
        <w:rPr>
          <w:rFonts w:ascii="Times New Roman" w:eastAsiaTheme="minorEastAsia" w:hAnsi="Times New Roman" w:cs="Times New Roman"/>
          <w:b/>
          <w:bCs/>
          <w:color w:val="171796"/>
          <w:sz w:val="28"/>
          <w:szCs w:val="40"/>
          <w:lang w:eastAsia="hr-HR"/>
        </w:rPr>
      </w:pPr>
      <w:r w:rsidRPr="001B28C7">
        <w:rPr>
          <w:rFonts w:ascii="Times New Roman" w:eastAsiaTheme="minorEastAsia" w:hAnsi="Times New Roman" w:cs="Times New Roman"/>
          <w:b/>
          <w:bCs/>
          <w:color w:val="171796"/>
          <w:sz w:val="28"/>
          <w:szCs w:val="40"/>
          <w:lang w:eastAsia="hr-HR"/>
        </w:rPr>
        <w:t xml:space="preserve">START-UP/SPIN OFF PODUZEĆA MLADIH ISTRAŽIVAČA </w:t>
      </w:r>
    </w:p>
    <w:p w14:paraId="54052ED2" w14:textId="3AEC3ACC" w:rsidR="00136817" w:rsidRPr="002B2B9B" w:rsidRDefault="00136817" w:rsidP="00136817">
      <w:pPr>
        <w:spacing w:after="0"/>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referentni broj:</w:t>
      </w:r>
      <w:r w:rsidR="009C44B2">
        <w:rPr>
          <w:rFonts w:ascii="Times New Roman" w:hAnsi="Times New Roman" w:cs="Times New Roman"/>
          <w:b/>
          <w:i/>
          <w:sz w:val="24"/>
          <w:szCs w:val="24"/>
        </w:rPr>
        <w:t xml:space="preserve"> </w:t>
      </w:r>
      <w:r w:rsidR="00F96838" w:rsidRPr="00AA65F1">
        <w:rPr>
          <w:rStyle w:val="Bodytext285pt"/>
          <w:rFonts w:eastAsiaTheme="minorHAnsi"/>
          <w:b/>
          <w:i/>
          <w:sz w:val="24"/>
        </w:rPr>
        <w:t>C3.2.R</w:t>
      </w:r>
      <w:r w:rsidR="001B28C7" w:rsidRPr="00AA65F1">
        <w:rPr>
          <w:rStyle w:val="Bodytext285pt"/>
          <w:rFonts w:eastAsiaTheme="minorHAnsi"/>
          <w:b/>
          <w:i/>
          <w:sz w:val="24"/>
        </w:rPr>
        <w:t>2-I1.0</w:t>
      </w:r>
      <w:r w:rsidR="00AA65F1" w:rsidRPr="00AA65F1">
        <w:rPr>
          <w:rStyle w:val="Bodytext285pt"/>
          <w:rFonts w:eastAsiaTheme="minorHAnsi"/>
          <w:b/>
          <w:i/>
          <w:sz w:val="24"/>
        </w:rPr>
        <w:t>4</w:t>
      </w:r>
      <w:r w:rsidRPr="00AA65F1">
        <w:rPr>
          <w:rFonts w:ascii="Times New Roman" w:hAnsi="Times New Roman" w:cs="Times New Roman"/>
          <w:b/>
          <w:i/>
          <w:sz w:val="24"/>
          <w:szCs w:val="24"/>
        </w:rPr>
        <w:t>)</w:t>
      </w:r>
    </w:p>
    <w:p w14:paraId="65E21B9C" w14:textId="77777777" w:rsidR="00136817" w:rsidRPr="002B2B9B" w:rsidRDefault="00136817" w:rsidP="00136817">
      <w:pPr>
        <w:jc w:val="center"/>
        <w:rPr>
          <w:rFonts w:ascii="Times New Roman" w:hAnsi="Times New Roman" w:cs="Times New Roman"/>
          <w:b/>
          <w:sz w:val="24"/>
        </w:rPr>
      </w:pPr>
    </w:p>
    <w:p w14:paraId="2E4A0A09" w14:textId="5E427940" w:rsidR="00136817" w:rsidRPr="00243264" w:rsidRDefault="00AE669A" w:rsidP="00136817">
      <w:pPr>
        <w:tabs>
          <w:tab w:val="left" w:pos="1257"/>
        </w:tabs>
        <w:jc w:val="center"/>
        <w:rPr>
          <w:rFonts w:ascii="Times New Roman" w:eastAsiaTheme="minorEastAsia" w:hAnsi="Times New Roman" w:cs="Times New Roman"/>
          <w:b/>
          <w:bCs/>
          <w:color w:val="171796"/>
          <w:sz w:val="28"/>
          <w:szCs w:val="40"/>
          <w:lang w:eastAsia="hr-HR"/>
        </w:rPr>
      </w:pPr>
      <w:r>
        <w:rPr>
          <w:rFonts w:ascii="Times New Roman" w:eastAsiaTheme="minorEastAsia" w:hAnsi="Times New Roman" w:cs="Times New Roman"/>
          <w:b/>
          <w:bCs/>
          <w:color w:val="171796"/>
          <w:sz w:val="28"/>
          <w:szCs w:val="40"/>
          <w:lang w:eastAsia="hr-HR"/>
        </w:rPr>
        <w:t>PRILOG 5</w:t>
      </w:r>
      <w:r w:rsidR="00136817" w:rsidRPr="00243264">
        <w:rPr>
          <w:rFonts w:ascii="Times New Roman" w:eastAsiaTheme="minorEastAsia" w:hAnsi="Times New Roman" w:cs="Times New Roman"/>
          <w:b/>
          <w:bCs/>
          <w:color w:val="171796"/>
          <w:sz w:val="28"/>
          <w:szCs w:val="40"/>
          <w:lang w:eastAsia="hr-HR"/>
        </w:rPr>
        <w:t xml:space="preserve">. </w:t>
      </w: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lastRenderedPageBreak/>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 xml:space="preserve">/podkomponentu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/podkomponentu</w:t>
      </w:r>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136817">
      <w:pPr>
        <w:pStyle w:val="Footer"/>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0BCD8A8E"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67491C4F"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7AD001C6"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E10B88"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0C842AF7"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4570EEF1"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8B69A5"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3760AD78"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2EB95DC"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Default="00A9738A" w:rsidP="00D0103E">
      <w:pPr>
        <w:spacing w:before="0" w:after="0"/>
        <w:contextualSpacing/>
        <w:jc w:val="both"/>
        <w:rPr>
          <w:rFonts w:ascii="Times New Roman" w:eastAsia="Times New Roman" w:hAnsi="Times New Roman" w:cs="Times New Roman"/>
          <w:sz w:val="20"/>
          <w:szCs w:val="20"/>
          <w:lang w:eastAsia="hr-HR"/>
        </w:rPr>
      </w:pPr>
    </w:p>
    <w:p w14:paraId="7AA4DAE1" w14:textId="77777777" w:rsidR="008A02CC" w:rsidRPr="00DC1AD5" w:rsidRDefault="008A02CC"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lastRenderedPageBreak/>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lastRenderedPageBreak/>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w:t>
      </w:r>
      <w:r w:rsidRPr="00DC1AD5">
        <w:rPr>
          <w:rFonts w:ascii="Times New Roman" w:eastAsia="Times New Roman" w:hAnsi="Times New Roman" w:cs="Times New Roman"/>
          <w:sz w:val="24"/>
          <w:szCs w:val="24"/>
          <w:lang w:eastAsia="hr-HR"/>
        </w:rPr>
        <w:lastRenderedPageBreak/>
        <w:t>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lastRenderedPageBreak/>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0"/>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w:t>
            </w:r>
            <w:r w:rsidRPr="005B25F1">
              <w:rPr>
                <w:rFonts w:ascii="Times New Roman" w:eastAsia="Calibri" w:hAnsi="Times New Roman" w:cs="Times New Roman"/>
                <w:sz w:val="20"/>
                <w:szCs w:val="20"/>
              </w:rPr>
              <w:lastRenderedPageBreak/>
              <w:t xml:space="preserve">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-propuštanje produljenja rokova za dostavu ponuda </w:t>
            </w:r>
            <w:r w:rsidRPr="00182B1F">
              <w:rPr>
                <w:rFonts w:ascii="Times New Roman" w:eastAsia="Calibri" w:hAnsi="Times New Roman" w:cs="Times New Roman"/>
                <w:sz w:val="20"/>
                <w:szCs w:val="20"/>
              </w:rPr>
              <w:lastRenderedPageBreak/>
              <w:t>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w:t>
            </w:r>
            <w:r w:rsidRPr="00182B1F">
              <w:rPr>
                <w:rFonts w:ascii="Times New Roman" w:hAnsi="Times New Roman" w:cs="Times New Roman"/>
                <w:sz w:val="20"/>
                <w:szCs w:val="20"/>
              </w:rPr>
              <w:lastRenderedPageBreak/>
              <w:t xml:space="preserve">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ponderiranje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nastan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7B250619" w:rsidR="00136817" w:rsidRDefault="0096073E" w:rsidP="002C6F65">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DoN-a izričito ili </w:t>
            </w:r>
            <w:r w:rsidRPr="002C6F65">
              <w:rPr>
                <w:rFonts w:ascii="Times New Roman" w:eastAsia="Calibri" w:hAnsi="Times New Roman" w:cs="Times New Roman"/>
                <w:sz w:val="20"/>
                <w:szCs w:val="20"/>
              </w:rPr>
              <w:lastRenderedPageBreak/>
              <w:t>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p w14:paraId="520ED646" w14:textId="77777777" w:rsidR="00136817" w:rsidRPr="00136817" w:rsidRDefault="00136817" w:rsidP="00136817"/>
          <w:p w14:paraId="73C6D941" w14:textId="77777777" w:rsidR="00136817" w:rsidRPr="00136817" w:rsidRDefault="00136817" w:rsidP="00136817"/>
          <w:p w14:paraId="6E1FF5B0" w14:textId="77777777" w:rsidR="00136817" w:rsidRPr="00136817" w:rsidRDefault="00136817" w:rsidP="00136817"/>
          <w:p w14:paraId="299E5F01" w14:textId="77777777" w:rsidR="00136817" w:rsidRPr="00136817" w:rsidRDefault="00136817" w:rsidP="00136817"/>
          <w:p w14:paraId="5667F573" w14:textId="6FF76CEB" w:rsidR="00136817" w:rsidRDefault="00136817" w:rsidP="00136817"/>
          <w:p w14:paraId="1B93D120" w14:textId="77777777" w:rsidR="00136817" w:rsidRPr="00136817" w:rsidRDefault="00136817" w:rsidP="00136817"/>
          <w:p w14:paraId="43F7ACB5" w14:textId="77777777" w:rsidR="00136817" w:rsidRPr="00136817" w:rsidRDefault="00136817" w:rsidP="00136817"/>
          <w:p w14:paraId="738CB454" w14:textId="77777777" w:rsidR="00136817" w:rsidRPr="00136817" w:rsidRDefault="00136817" w:rsidP="00136817"/>
          <w:p w14:paraId="2274C04A" w14:textId="77777777" w:rsidR="00136817" w:rsidRPr="00136817" w:rsidRDefault="00136817" w:rsidP="00136817"/>
          <w:p w14:paraId="7E198F91" w14:textId="77777777" w:rsidR="00136817" w:rsidRPr="00136817" w:rsidRDefault="00136817" w:rsidP="00136817"/>
          <w:p w14:paraId="3114D697" w14:textId="77777777" w:rsidR="00136817" w:rsidRPr="00136817" w:rsidRDefault="00136817" w:rsidP="00136817"/>
          <w:p w14:paraId="4C67A58A" w14:textId="77777777" w:rsidR="00136817" w:rsidRPr="00136817" w:rsidRDefault="00136817" w:rsidP="00136817"/>
          <w:p w14:paraId="0EBE0D12" w14:textId="77777777" w:rsidR="00136817" w:rsidRPr="00136817" w:rsidRDefault="00136817" w:rsidP="00136817"/>
          <w:p w14:paraId="4F66C4F1" w14:textId="77777777" w:rsidR="00136817" w:rsidRPr="00136817" w:rsidRDefault="00136817" w:rsidP="00136817"/>
          <w:p w14:paraId="35073513" w14:textId="77777777" w:rsidR="00136817" w:rsidRPr="00136817" w:rsidRDefault="00136817" w:rsidP="00136817"/>
          <w:p w14:paraId="44BC2A11" w14:textId="77777777" w:rsidR="00136817" w:rsidRPr="00136817" w:rsidRDefault="00136817" w:rsidP="00136817"/>
          <w:p w14:paraId="6F88CA24" w14:textId="77777777" w:rsidR="00136817" w:rsidRPr="00136817" w:rsidRDefault="00136817" w:rsidP="00136817"/>
          <w:p w14:paraId="71EDEB32" w14:textId="77777777" w:rsidR="00136817" w:rsidRPr="00136817" w:rsidRDefault="00136817" w:rsidP="00136817"/>
          <w:p w14:paraId="6C4AE85B" w14:textId="77777777" w:rsidR="00136817" w:rsidRPr="00136817" w:rsidRDefault="00136817" w:rsidP="00136817"/>
          <w:p w14:paraId="548415B5" w14:textId="77777777" w:rsidR="00136817" w:rsidRPr="00136817" w:rsidRDefault="00136817" w:rsidP="00136817"/>
          <w:p w14:paraId="021A75C0" w14:textId="6A41B0FF" w:rsidR="00136817" w:rsidRDefault="00136817" w:rsidP="00136817"/>
          <w:p w14:paraId="75300438" w14:textId="77777777" w:rsidR="0096073E" w:rsidRPr="00136817" w:rsidRDefault="0096073E" w:rsidP="00136817">
            <w:pPr>
              <w:jc w:val="cente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ako je unatoč odvraćajućem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(npr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„case by case“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sukladnost ponude sa uvjetima iz DoN-a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a sukladnost ponude sa uvjetima iz DoN-a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sukladnost ponude sa uvjetima iz DoN-a,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w:t>
            </w:r>
            <w:r w:rsidRPr="00AD39EC">
              <w:rPr>
                <w:rFonts w:ascii="Times New Roman" w:eastAsia="Calibri" w:hAnsi="Times New Roman" w:cs="Times New Roman"/>
                <w:sz w:val="20"/>
                <w:szCs w:val="20"/>
              </w:rPr>
              <w:lastRenderedPageBreak/>
              <w:t>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lastRenderedPageBreak/>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6D5B2507" w14:textId="78C135BC"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Default="00783487" w:rsidP="00783487">
      <w:pPr>
        <w:spacing w:before="0" w:after="0"/>
        <w:contextualSpacing/>
        <w:jc w:val="both"/>
        <w:rPr>
          <w:rFonts w:ascii="Times New Roman" w:eastAsia="Calibri" w:hAnsi="Times New Roman" w:cs="Times New Roman"/>
          <w:sz w:val="20"/>
          <w:szCs w:val="20"/>
        </w:rPr>
      </w:pPr>
    </w:p>
    <w:p w14:paraId="4E1ED386" w14:textId="77777777" w:rsidR="00136817" w:rsidRDefault="00136817" w:rsidP="00783487">
      <w:pPr>
        <w:spacing w:before="0" w:after="0"/>
        <w:contextualSpacing/>
        <w:jc w:val="both"/>
        <w:rPr>
          <w:rFonts w:ascii="Times New Roman" w:eastAsia="Calibri" w:hAnsi="Times New Roman" w:cs="Times New Roman"/>
          <w:sz w:val="20"/>
          <w:szCs w:val="20"/>
        </w:rPr>
      </w:pPr>
    </w:p>
    <w:p w14:paraId="0FA5AD33" w14:textId="77777777" w:rsidR="00136817" w:rsidRDefault="00136817" w:rsidP="00783487">
      <w:pPr>
        <w:spacing w:before="0" w:after="0"/>
        <w:contextualSpacing/>
        <w:jc w:val="both"/>
        <w:rPr>
          <w:rFonts w:ascii="Times New Roman" w:eastAsia="Calibri" w:hAnsi="Times New Roman" w:cs="Times New Roman"/>
          <w:sz w:val="20"/>
          <w:szCs w:val="20"/>
        </w:rPr>
      </w:pPr>
    </w:p>
    <w:p w14:paraId="61F2381F" w14:textId="77777777" w:rsidR="00136817" w:rsidRDefault="00136817" w:rsidP="00783487">
      <w:pPr>
        <w:spacing w:before="0" w:after="0"/>
        <w:contextualSpacing/>
        <w:jc w:val="both"/>
        <w:rPr>
          <w:rFonts w:ascii="Times New Roman" w:eastAsia="Calibri" w:hAnsi="Times New Roman" w:cs="Times New Roman"/>
          <w:sz w:val="20"/>
          <w:szCs w:val="20"/>
        </w:rPr>
      </w:pPr>
    </w:p>
    <w:p w14:paraId="245FD8C0" w14:textId="77777777" w:rsidR="00136817" w:rsidRDefault="00136817" w:rsidP="00783487">
      <w:pPr>
        <w:spacing w:before="0" w:after="0"/>
        <w:contextualSpacing/>
        <w:jc w:val="both"/>
        <w:rPr>
          <w:rFonts w:ascii="Times New Roman" w:eastAsia="Calibri" w:hAnsi="Times New Roman" w:cs="Times New Roman"/>
          <w:sz w:val="20"/>
          <w:szCs w:val="20"/>
        </w:rPr>
      </w:pPr>
    </w:p>
    <w:p w14:paraId="0C0B0F47" w14:textId="77777777" w:rsidR="00136817" w:rsidRDefault="00136817" w:rsidP="00783487">
      <w:pPr>
        <w:spacing w:before="0" w:after="0"/>
        <w:contextualSpacing/>
        <w:jc w:val="both"/>
        <w:rPr>
          <w:rFonts w:ascii="Times New Roman" w:eastAsia="Calibri" w:hAnsi="Times New Roman" w:cs="Times New Roman"/>
          <w:sz w:val="20"/>
          <w:szCs w:val="20"/>
        </w:rPr>
      </w:pPr>
    </w:p>
    <w:p w14:paraId="1F55BBE3" w14:textId="77777777" w:rsidR="00136817" w:rsidRDefault="00136817" w:rsidP="00783487">
      <w:pPr>
        <w:spacing w:before="0" w:after="0"/>
        <w:contextualSpacing/>
        <w:jc w:val="both"/>
        <w:rPr>
          <w:rFonts w:ascii="Times New Roman" w:eastAsia="Calibri" w:hAnsi="Times New Roman" w:cs="Times New Roman"/>
          <w:sz w:val="20"/>
          <w:szCs w:val="20"/>
        </w:rPr>
      </w:pPr>
    </w:p>
    <w:p w14:paraId="3715A392" w14:textId="77777777" w:rsidR="00136817" w:rsidRDefault="00136817" w:rsidP="00783487">
      <w:pPr>
        <w:spacing w:before="0" w:after="0"/>
        <w:contextualSpacing/>
        <w:jc w:val="both"/>
        <w:rPr>
          <w:rFonts w:ascii="Times New Roman" w:eastAsia="Calibri" w:hAnsi="Times New Roman" w:cs="Times New Roman"/>
          <w:sz w:val="20"/>
          <w:szCs w:val="20"/>
        </w:rPr>
      </w:pPr>
    </w:p>
    <w:p w14:paraId="5430E30B" w14:textId="77777777" w:rsidR="00136817" w:rsidRDefault="00136817" w:rsidP="00783487">
      <w:pPr>
        <w:spacing w:before="0" w:after="0"/>
        <w:contextualSpacing/>
        <w:jc w:val="both"/>
        <w:rPr>
          <w:rFonts w:ascii="Times New Roman" w:eastAsia="Calibri" w:hAnsi="Times New Roman" w:cs="Times New Roman"/>
          <w:sz w:val="20"/>
          <w:szCs w:val="20"/>
        </w:rPr>
      </w:pPr>
    </w:p>
    <w:p w14:paraId="7282F004" w14:textId="77777777" w:rsidR="00136817" w:rsidRDefault="00136817" w:rsidP="00783487">
      <w:pPr>
        <w:spacing w:before="0" w:after="0"/>
        <w:contextualSpacing/>
        <w:jc w:val="both"/>
        <w:rPr>
          <w:rFonts w:ascii="Times New Roman" w:eastAsia="Calibri" w:hAnsi="Times New Roman" w:cs="Times New Roman"/>
          <w:sz w:val="20"/>
          <w:szCs w:val="20"/>
        </w:rPr>
      </w:pPr>
    </w:p>
    <w:p w14:paraId="243EAD2F" w14:textId="77777777" w:rsidR="00136817" w:rsidRDefault="00136817" w:rsidP="00783487">
      <w:pPr>
        <w:spacing w:before="0" w:after="0"/>
        <w:contextualSpacing/>
        <w:jc w:val="both"/>
        <w:rPr>
          <w:rFonts w:ascii="Times New Roman" w:eastAsia="Calibri" w:hAnsi="Times New Roman" w:cs="Times New Roman"/>
          <w:sz w:val="20"/>
          <w:szCs w:val="20"/>
        </w:rPr>
      </w:pPr>
    </w:p>
    <w:p w14:paraId="31D79B33" w14:textId="77777777" w:rsidR="00136817" w:rsidRPr="00C93169" w:rsidRDefault="00136817" w:rsidP="00783487">
      <w:pPr>
        <w:spacing w:before="0" w:after="0"/>
        <w:contextualSpacing/>
        <w:jc w:val="both"/>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a) Poziv na nadmetanje je objavljen na nacionalnoj razini (sukladno </w:t>
            </w:r>
            <w:r w:rsidRPr="00DC1AD5">
              <w:rPr>
                <w:rFonts w:ascii="Times New Roman" w:hAnsi="Times New Roman"/>
                <w:sz w:val="20"/>
                <w:szCs w:val="20"/>
              </w:rPr>
              <w:lastRenderedPageBreak/>
              <w:t>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lastRenderedPageBreak/>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lastRenderedPageBreak/>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20DB9AC" w14:textId="0A384F56" w:rsidR="00620D19" w:rsidRDefault="00CF3B45" w:rsidP="00D40619">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odvraćajućem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(npr ukoliko se uvjet ne odnosi na GS već na stručnjaka, ukoliko se radi o dijelu ugovora koji je sporedne prirode_)</w:t>
            </w: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odvraćajućem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lastRenderedPageBreak/>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ponuda,povoljniji uvjeti </w:t>
            </w:r>
            <w:r w:rsidRPr="00DC1AD5">
              <w:rPr>
                <w:rFonts w:ascii="Times New Roman" w:hAnsi="Times New Roman"/>
                <w:sz w:val="20"/>
                <w:szCs w:val="20"/>
              </w:rPr>
              <w:lastRenderedPageBreak/>
              <w:t xml:space="preserve">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lastRenderedPageBreak/>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lastRenderedPageBreak/>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811594D" w:rsidR="00620D19" w:rsidRPr="00DC1AD5" w:rsidRDefault="00620D19" w:rsidP="00BD7C9F">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(od čega je 200.000,00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bila potpora iz fondova - 67% potpora). Poduzeće je prodalo dio opreme za cijenu koja odgovara tržišnoj vrijednosti od 200.000,00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U zamjenu poduzeće je kupilo novi dio opreme za 150.000,00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xml:space="preserve">, ciljevi su postignuti, ali je poduzeće pribavilo korist od 50.000,00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w:t>
            </w:r>
            <w:r w:rsidRPr="00DC1AD5">
              <w:rPr>
                <w:rFonts w:ascii="Times New Roman" w:eastAsia="Calibri" w:hAnsi="Times New Roman" w:cs="Times New Roman"/>
                <w:sz w:val="20"/>
                <w:szCs w:val="20"/>
                <w:lang w:eastAsia="ar-SA"/>
              </w:rPr>
              <w:lastRenderedPageBreak/>
              <w:t>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2%-tna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5BC892F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U slučaju da se nepravilnost odnosi na izravni trošak, povezani neizravni troškovi biti će proporcionalno smanjeni. Npr.  utvrđena je nepravilnost u izravnim troškovima koja iznosi 10.000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dok su ukupni izravni troškovi projekta 500.000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Stopa za izračun neizravnih troškova je 10%, te je ukupan iznos neizravnih troškova 50.000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Financijska korekcija za neizravne troškove iznosi 10% od 10.000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 1.000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dok je ukupan iznos financijske korekcije 1.000+10.000=11.000 </w:t>
            </w:r>
            <w:r w:rsidR="00BD7C9F">
              <w:rPr>
                <w:rFonts w:ascii="Times New Roman" w:eastAsia="Calibri" w:hAnsi="Times New Roman" w:cs="Times New Roman"/>
                <w:sz w:val="20"/>
                <w:szCs w:val="20"/>
              </w:rPr>
              <w:t>eura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1A7D31A5"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35E4A37D"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Jedinica mjere je sat tečaja engleskog jezika za osobu koja se prekvalificira. Izračunat je jedinični trošak od 100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Projektna prijava /ugovor predviđa osposobiti 100 osoba i iskoristiti 200 sati treninga (edukacije), prema tome planirani trošak iznosi 2.000.000 </w:t>
            </w:r>
            <w:r w:rsidR="00BD7C9F">
              <w:rPr>
                <w:rFonts w:ascii="Times New Roman" w:eastAsia="Calibri" w:hAnsi="Times New Roman" w:cs="Times New Roman"/>
                <w:sz w:val="20"/>
                <w:szCs w:val="20"/>
              </w:rPr>
              <w:t>eura</w:t>
            </w:r>
            <w:r w:rsidRPr="00DC1AD5">
              <w:rPr>
                <w:rFonts w:ascii="Times New Roman" w:eastAsia="Calibri" w:hAnsi="Times New Roman" w:cs="Times New Roman"/>
                <w:sz w:val="20"/>
                <w:szCs w:val="20"/>
              </w:rPr>
              <w:t>.</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Provjerom nadležnog tijela utvrđeno je da je 80 osoba educirano u punom vremenu, 10 osoba je pohađalo samo 100 sati edukacije, dok 10 osoba uopće nije pohađalo edukaciju.</w:t>
            </w:r>
          </w:p>
          <w:p w14:paraId="53970B9C" w14:textId="5E6911DA"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izračunava kako slijedi: 2.000.000 – (80*200*100 + 10*100*100) = 300.000 </w:t>
            </w:r>
            <w:r w:rsidR="00BD7C9F">
              <w:rPr>
                <w:rFonts w:ascii="Times New Roman" w:eastAsia="Calibri" w:hAnsi="Times New Roman" w:cs="Times New Roman"/>
                <w:sz w:val="20"/>
                <w:szCs w:val="20"/>
              </w:rPr>
              <w:t>EUR</w:t>
            </w:r>
            <w:bookmarkStart w:id="1" w:name="_GoBack"/>
            <w:bookmarkEnd w:id="1"/>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nenanošenja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Korisnik nije poštivao načelo nenanošenja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projektnom prijedlogu je naznačena dodatna mjera (iznad zakonskog minimuma) te je i bodovana na </w:t>
            </w:r>
            <w:r w:rsidRPr="00DC1AD5">
              <w:rPr>
                <w:rFonts w:ascii="Times New Roman" w:eastAsia="Calibri" w:hAnsi="Times New Roman" w:cs="Times New Roman"/>
                <w:sz w:val="20"/>
                <w:szCs w:val="20"/>
              </w:rPr>
              <w:lastRenderedPageBreak/>
              <w:t>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w:t>
            </w:r>
            <w:r w:rsidRPr="00DC1AD5">
              <w:rPr>
                <w:rFonts w:ascii="Times New Roman" w:eastAsia="Calibri" w:hAnsi="Times New Roman" w:cs="Times New Roman"/>
                <w:sz w:val="20"/>
                <w:szCs w:val="20"/>
              </w:rPr>
              <w:lastRenderedPageBreak/>
              <w:t xml:space="preserve">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53DDD" w14:textId="77777777" w:rsidR="00494FDD" w:rsidRDefault="00494FDD" w:rsidP="0056094F">
      <w:pPr>
        <w:spacing w:before="0" w:after="0"/>
      </w:pPr>
      <w:r>
        <w:separator/>
      </w:r>
    </w:p>
  </w:endnote>
  <w:endnote w:type="continuationSeparator" w:id="0">
    <w:p w14:paraId="6300D22A" w14:textId="77777777" w:rsidR="00494FDD" w:rsidRDefault="00494FDD" w:rsidP="0056094F">
      <w:pPr>
        <w:spacing w:before="0" w:after="0"/>
      </w:pPr>
      <w:r>
        <w:continuationSeparator/>
      </w:r>
    </w:p>
  </w:endnote>
  <w:endnote w:type="continuationNotice" w:id="1">
    <w:p w14:paraId="4F7689A1" w14:textId="77777777" w:rsidR="00494FDD" w:rsidRDefault="00494F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813770"/>
      <w:docPartObj>
        <w:docPartGallery w:val="Page Numbers (Bottom of Page)"/>
        <w:docPartUnique/>
      </w:docPartObj>
    </w:sdtPr>
    <w:sdtEndPr/>
    <w:sdtContent>
      <w:sdt>
        <w:sdtPr>
          <w:id w:val="1728636285"/>
          <w:docPartObj>
            <w:docPartGallery w:val="Page Numbers (Top of Page)"/>
            <w:docPartUnique/>
          </w:docPartObj>
        </w:sdtPr>
        <w:sdtEndPr/>
        <w:sdtContent>
          <w:p w14:paraId="6B6C438C" w14:textId="15B19115" w:rsidR="009536F1" w:rsidRDefault="009536F1">
            <w:pPr>
              <w:pStyle w:val="Footer"/>
              <w:jc w:val="center"/>
            </w:pPr>
            <w:r w:rsidRPr="009536F1">
              <w:rPr>
                <w:rFonts w:ascii="Times New Roman" w:hAnsi="Times New Roman" w:cs="Times New Roman"/>
                <w:sz w:val="18"/>
                <w:szCs w:val="18"/>
              </w:rPr>
              <w:t xml:space="preserve">Stranica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PAGE </w:instrText>
            </w:r>
            <w:r w:rsidRPr="009536F1">
              <w:rPr>
                <w:rFonts w:ascii="Times New Roman" w:hAnsi="Times New Roman" w:cs="Times New Roman"/>
                <w:bCs/>
                <w:sz w:val="18"/>
                <w:szCs w:val="18"/>
              </w:rPr>
              <w:fldChar w:fldCharType="separate"/>
            </w:r>
            <w:r w:rsidR="00BD7C9F">
              <w:rPr>
                <w:rFonts w:ascii="Times New Roman" w:hAnsi="Times New Roman" w:cs="Times New Roman"/>
                <w:bCs/>
                <w:noProof/>
                <w:sz w:val="18"/>
                <w:szCs w:val="18"/>
              </w:rPr>
              <w:t>35</w:t>
            </w:r>
            <w:r w:rsidRPr="009536F1">
              <w:rPr>
                <w:rFonts w:ascii="Times New Roman" w:hAnsi="Times New Roman" w:cs="Times New Roman"/>
                <w:bCs/>
                <w:sz w:val="18"/>
                <w:szCs w:val="18"/>
              </w:rPr>
              <w:fldChar w:fldCharType="end"/>
            </w:r>
            <w:r w:rsidRPr="009536F1">
              <w:rPr>
                <w:rFonts w:ascii="Times New Roman" w:hAnsi="Times New Roman" w:cs="Times New Roman"/>
                <w:sz w:val="18"/>
                <w:szCs w:val="18"/>
              </w:rPr>
              <w:t xml:space="preserve"> od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NUMPAGES  </w:instrText>
            </w:r>
            <w:r w:rsidRPr="009536F1">
              <w:rPr>
                <w:rFonts w:ascii="Times New Roman" w:hAnsi="Times New Roman" w:cs="Times New Roman"/>
                <w:bCs/>
                <w:sz w:val="18"/>
                <w:szCs w:val="18"/>
              </w:rPr>
              <w:fldChar w:fldCharType="separate"/>
            </w:r>
            <w:r w:rsidR="00BD7C9F">
              <w:rPr>
                <w:rFonts w:ascii="Times New Roman" w:hAnsi="Times New Roman" w:cs="Times New Roman"/>
                <w:bCs/>
                <w:noProof/>
                <w:sz w:val="18"/>
                <w:szCs w:val="18"/>
              </w:rPr>
              <w:t>36</w:t>
            </w:r>
            <w:r w:rsidRPr="009536F1">
              <w:rPr>
                <w:rFonts w:ascii="Times New Roman" w:hAnsi="Times New Roman" w:cs="Times New Roman"/>
                <w:bCs/>
                <w:sz w:val="18"/>
                <w:szCs w:val="18"/>
              </w:rPr>
              <w:fldChar w:fldCharType="end"/>
            </w:r>
          </w:p>
        </w:sdtContent>
      </w:sdt>
    </w:sdtContent>
  </w:sdt>
  <w:p w14:paraId="56ADB72D" w14:textId="0801BB8F" w:rsidR="005D3504" w:rsidRDefault="005D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E735" w14:textId="77777777" w:rsidR="00494FDD" w:rsidRDefault="00494FDD" w:rsidP="0056094F">
      <w:pPr>
        <w:spacing w:before="0" w:after="0"/>
      </w:pPr>
      <w:r>
        <w:separator/>
      </w:r>
    </w:p>
  </w:footnote>
  <w:footnote w:type="continuationSeparator" w:id="0">
    <w:p w14:paraId="29AA75B6" w14:textId="77777777" w:rsidR="00494FDD" w:rsidRDefault="00494FDD" w:rsidP="0056094F">
      <w:pPr>
        <w:spacing w:before="0" w:after="0"/>
      </w:pPr>
      <w:r>
        <w:continuationSeparator/>
      </w:r>
    </w:p>
  </w:footnote>
  <w:footnote w:type="continuationNotice" w:id="1">
    <w:p w14:paraId="47E3452F" w14:textId="77777777" w:rsidR="00494FDD" w:rsidRDefault="00494FDD">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FCAF" w14:textId="77777777" w:rsidR="006462FA" w:rsidRDefault="006462FA" w:rsidP="006462FA">
    <w:pPr>
      <w:pStyle w:val="Header"/>
    </w:pPr>
    <w:r>
      <w:rPr>
        <w:noProof/>
        <w:lang w:eastAsia="hr-HR"/>
      </w:rPr>
      <w:drawing>
        <wp:inline distT="0" distB="0" distL="0" distR="0" wp14:anchorId="2FEEA449" wp14:editId="71214EC5">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Pr>
        <w:noProof/>
        <w:lang w:eastAsia="hr-HR"/>
      </w:rPr>
      <w:drawing>
        <wp:inline distT="0" distB="0" distL="0" distR="0" wp14:anchorId="25D7DBFF" wp14:editId="651F860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03868CAA" w14:textId="77777777" w:rsidR="00F77923" w:rsidRDefault="00F77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4D1F"/>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817"/>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28C7"/>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4FDD"/>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2FA"/>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02CC"/>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6F1"/>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4B2"/>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65F1"/>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69A"/>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D7C9F"/>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CF5BC1"/>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66F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09E1"/>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6838"/>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 w:type="character" w:customStyle="1" w:styleId="Bodytext285pt">
    <w:name w:val="Body text (2) + 8;5 pt"/>
    <w:basedOn w:val="DefaultParagraphFont"/>
    <w:rsid w:val="0013681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4C05-7A13-4266-BF4C-F669A4E5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10263</Words>
  <Characters>58502</Characters>
  <Application>Microsoft Office Word</Application>
  <DocSecurity>0</DocSecurity>
  <Lines>487</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2023-01-11T14:04:00Z</dcterms:created>
  <dcterms:modified xsi:type="dcterms:W3CDTF">2023-01-11T14:04:00Z</dcterms:modified>
</cp:coreProperties>
</file>