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9A97" w14:textId="0289A90D" w:rsidR="009315B2" w:rsidRPr="009315B2" w:rsidRDefault="0075565D" w:rsidP="009315B2">
      <w:pPr>
        <w:spacing w:after="160" w:line="259" w:lineRule="auto"/>
        <w:jc w:val="center"/>
        <w:rPr>
          <w:rFonts w:ascii="Gill Sans MT" w:eastAsiaTheme="minorHAnsi" w:hAnsi="Gill Sans MT" w:cstheme="minorBidi"/>
          <w:b/>
          <w:sz w:val="28"/>
          <w:szCs w:val="28"/>
          <w:lang w:eastAsia="en-US"/>
        </w:rPr>
      </w:pPr>
      <w:bookmarkStart w:id="0" w:name="_Toc70595767"/>
      <w:r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K</w:t>
      </w:r>
      <w:r w:rsidR="009315B2" w:rsidRPr="009315B2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ontrolna lista</w:t>
      </w:r>
      <w:r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 xml:space="preserve"> </w:t>
      </w:r>
      <w:r w:rsidRPr="0075565D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usklađenosti projekta s načelom „ne nanosi bitnu štetu“</w:t>
      </w:r>
      <w:r w:rsidR="00D67042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 xml:space="preserve"> (DNSH)</w:t>
      </w:r>
    </w:p>
    <w:p w14:paraId="4E16BDA1" w14:textId="37891E93" w:rsidR="006A12B4" w:rsidRPr="00D93EA8" w:rsidRDefault="00D67042" w:rsidP="00763266">
      <w:pPr>
        <w:spacing w:after="0" w:line="259" w:lineRule="auto"/>
        <w:jc w:val="left"/>
        <w:rPr>
          <w:rFonts w:ascii="Gill Sans MT" w:eastAsiaTheme="minorHAnsi" w:hAnsi="Gill Sans MT" w:cstheme="minorBidi"/>
          <w:sz w:val="24"/>
          <w:szCs w:val="24"/>
          <w:lang w:eastAsia="en-US"/>
        </w:rPr>
      </w:pPr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Komponenta/</w:t>
      </w:r>
      <w:proofErr w:type="spellStart"/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Podkomponenta</w:t>
      </w:r>
      <w:proofErr w:type="spellEnd"/>
      <w:r w:rsidR="00D93EA8"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:</w:t>
      </w:r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 </w:t>
      </w:r>
      <w:r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>C1. GOSPODARSTVO/</w:t>
      </w:r>
      <w:r w:rsidR="006A12B4"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>C1.3. Unaprjeđenje vodnog gospodarstva i gospodarenja otpadom</w:t>
      </w:r>
      <w:bookmarkEnd w:id="0"/>
      <w:r w:rsidR="006A12B4"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 </w:t>
      </w:r>
    </w:p>
    <w:p w14:paraId="21BBCC5A" w14:textId="29E829B3" w:rsidR="00D67042" w:rsidRPr="00D93EA8" w:rsidRDefault="00D67042" w:rsidP="00763266">
      <w:pPr>
        <w:spacing w:after="0" w:line="259" w:lineRule="auto"/>
        <w:jc w:val="left"/>
        <w:rPr>
          <w:rFonts w:ascii="Gill Sans MT" w:eastAsiaTheme="minorHAnsi" w:hAnsi="Gill Sans MT" w:cstheme="minorBidi"/>
          <w:b/>
          <w:sz w:val="24"/>
          <w:szCs w:val="24"/>
          <w:lang w:eastAsia="en-US"/>
        </w:rPr>
      </w:pPr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Reforma: </w:t>
      </w:r>
      <w:r w:rsidR="002305BA"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>C1.3. R2 Provedba projekata za održivo gospodarenje otpadom</w:t>
      </w:r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 </w:t>
      </w:r>
    </w:p>
    <w:p w14:paraId="0C494832" w14:textId="6C194D6A" w:rsidR="00D67042" w:rsidRPr="00D93EA8" w:rsidRDefault="00D67042" w:rsidP="00763266">
      <w:pPr>
        <w:spacing w:after="0" w:line="259" w:lineRule="auto"/>
        <w:jc w:val="left"/>
        <w:rPr>
          <w:rFonts w:ascii="Gill Sans MT" w:hAnsi="Gill Sans MT"/>
          <w:b/>
          <w:sz w:val="24"/>
          <w:szCs w:val="24"/>
        </w:rPr>
      </w:pPr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Investicija:</w:t>
      </w:r>
      <w:r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 C1.3. R2-I1 Program smanjenja odlaganja otpada</w:t>
      </w:r>
    </w:p>
    <w:p w14:paraId="5975971D" w14:textId="2FA81920" w:rsidR="002305BA" w:rsidRPr="00D93EA8" w:rsidRDefault="00D67042" w:rsidP="00763266">
      <w:pPr>
        <w:spacing w:after="0" w:line="259" w:lineRule="auto"/>
        <w:jc w:val="left"/>
        <w:rPr>
          <w:rFonts w:ascii="Gill Sans MT" w:eastAsiaTheme="minorHAnsi" w:hAnsi="Gill Sans MT" w:cstheme="minorBidi"/>
          <w:b/>
          <w:sz w:val="24"/>
          <w:szCs w:val="24"/>
          <w:lang w:eastAsia="en-US"/>
        </w:rPr>
      </w:pPr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Poziv:</w:t>
      </w:r>
      <w:r w:rsidR="00D93EA8"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 </w:t>
      </w:r>
      <w:r w:rsidR="00D93EA8"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>„Uspostava reciklažnih dvorišta“</w:t>
      </w:r>
    </w:p>
    <w:p w14:paraId="76201E67" w14:textId="77777777" w:rsidR="00763266" w:rsidRDefault="00763266" w:rsidP="00232F61">
      <w:pPr>
        <w:spacing w:after="0" w:line="240" w:lineRule="auto"/>
        <w:rPr>
          <w:rFonts w:ascii="Vollkorn" w:hAnsi="Vollkorn" w:cs="Arial"/>
          <w:noProof/>
        </w:rPr>
      </w:pPr>
    </w:p>
    <w:p w14:paraId="71B7FB30" w14:textId="0A729796" w:rsidR="0083082B" w:rsidRPr="00054499" w:rsidRDefault="00D93EA8" w:rsidP="00232F61">
      <w:pPr>
        <w:spacing w:after="0" w:line="240" w:lineRule="auto"/>
        <w:rPr>
          <w:rFonts w:ascii="Vollkorn" w:hAnsi="Vollkorn" w:cs="Arial"/>
          <w:noProof/>
        </w:rPr>
      </w:pPr>
      <w:r>
        <w:rPr>
          <w:rFonts w:ascii="Vollkorn" w:hAnsi="Vollkorn" w:cs="Arial"/>
          <w:noProof/>
        </w:rPr>
        <w:t xml:space="preserve">Uputa: </w:t>
      </w:r>
      <w:r w:rsidR="009315B2" w:rsidRPr="00232F61">
        <w:rPr>
          <w:rFonts w:ascii="Vollkorn" w:hAnsi="Vollkorn" w:cs="Arial"/>
          <w:noProof/>
        </w:rPr>
        <w:t>Potrebno je ispuniti posljednji stupac u kojem će se obrazložiti na koji način konkretan projektni prijedlog zadovoljava uvijete iz pojedinog zahtjeva DNSH, odnosno na koji način je sukladan s obrazloženjem navedenim u stupcu Obrazloženja (</w:t>
      </w:r>
      <w:r w:rsidR="009315B2" w:rsidRPr="00232F61">
        <w:rPr>
          <w:rFonts w:ascii="Vollkorn" w:hAnsi="Vollkorn" w:cs="Arial"/>
          <w:i/>
          <w:noProof/>
        </w:rPr>
        <w:t>Obrazloženje ako je odabrano „Ne“ i</w:t>
      </w:r>
      <w:r w:rsidR="00232F61">
        <w:rPr>
          <w:rFonts w:ascii="Vollkorn" w:hAnsi="Vollkorn" w:cs="Arial"/>
          <w:i/>
          <w:noProof/>
        </w:rPr>
        <w:t xml:space="preserve"> </w:t>
      </w:r>
      <w:r w:rsidR="009315B2" w:rsidRPr="00232F61">
        <w:rPr>
          <w:rFonts w:ascii="Vollkorn" w:hAnsi="Vollkorn" w:cs="Arial"/>
          <w:i/>
          <w:noProof/>
        </w:rPr>
        <w:t>Materijalno obrazloženje</w:t>
      </w:r>
      <w:r w:rsidR="009315B2" w:rsidRPr="00232F61">
        <w:rPr>
          <w:rFonts w:ascii="Vollkorn" w:hAnsi="Vollkorn" w:cs="Arial"/>
          <w:noProof/>
        </w:rPr>
        <w:t>) kakvo je dano u okviru NPOO-a.</w:t>
      </w:r>
    </w:p>
    <w:p w14:paraId="519FD539" w14:textId="77777777" w:rsidR="00054499" w:rsidRPr="00054499" w:rsidRDefault="00054499" w:rsidP="00054499">
      <w:pPr>
        <w:spacing w:after="0"/>
        <w:rPr>
          <w:rFonts w:ascii="Arial Narrow" w:eastAsiaTheme="minorHAnsi" w:hAnsi="Arial Narrow" w:cstheme="minorBidi"/>
          <w:b/>
          <w:sz w:val="26"/>
          <w:szCs w:val="26"/>
          <w:lang w:eastAsia="en-US"/>
        </w:rPr>
      </w:pPr>
    </w:p>
    <w:p w14:paraId="2032F12F" w14:textId="77777777" w:rsidR="00DD2CE2" w:rsidRPr="00E26C8B" w:rsidRDefault="00DD2CE2" w:rsidP="00DD2CE2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t>Kontrolna lista</w:t>
      </w:r>
      <w:r>
        <w:rPr>
          <w:rFonts w:ascii="Arial Narrow" w:hAnsi="Arial Narrow" w:cs="Arial"/>
          <w:b/>
          <w:bCs/>
          <w:szCs w:val="20"/>
        </w:rPr>
        <w:t xml:space="preserve"> 1</w:t>
      </w:r>
    </w:p>
    <w:tbl>
      <w:tblPr>
        <w:tblStyle w:val="TableGrid1"/>
        <w:tblpPr w:leftFromText="181" w:rightFromText="181" w:vertAnchor="text" w:horzAnchor="margin" w:tblpY="1"/>
        <w:tblW w:w="0" w:type="auto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426"/>
        <w:gridCol w:w="567"/>
        <w:gridCol w:w="4626"/>
        <w:gridCol w:w="4626"/>
      </w:tblGrid>
      <w:tr w:rsidR="00DD2CE2" w:rsidRPr="004E0AED" w14:paraId="1B186F84" w14:textId="0590D6D2" w:rsidTr="00231443">
        <w:tc>
          <w:tcPr>
            <w:tcW w:w="3397" w:type="dxa"/>
            <w:gridSpan w:val="2"/>
            <w:shd w:val="clear" w:color="auto" w:fill="2C398B"/>
          </w:tcPr>
          <w:p w14:paraId="5D5B5BBC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Molimo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navedite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koji od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niže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navedenih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ciljeva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zahtijevaju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temeljitu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procjenu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smislu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načela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„Ne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nanosi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značajnu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štetu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“</w:t>
            </w:r>
          </w:p>
        </w:tc>
        <w:tc>
          <w:tcPr>
            <w:tcW w:w="426" w:type="dxa"/>
            <w:shd w:val="clear" w:color="auto" w:fill="2C398B"/>
          </w:tcPr>
          <w:p w14:paraId="14DB15F7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Da</w:t>
            </w:r>
          </w:p>
        </w:tc>
        <w:tc>
          <w:tcPr>
            <w:tcW w:w="567" w:type="dxa"/>
            <w:shd w:val="clear" w:color="auto" w:fill="2C398B"/>
          </w:tcPr>
          <w:p w14:paraId="33E64FF7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4626" w:type="dxa"/>
            <w:shd w:val="clear" w:color="auto" w:fill="2C398B"/>
          </w:tcPr>
          <w:p w14:paraId="25968927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Obrazloženje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ako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odabrano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„Ne“</w:t>
            </w:r>
          </w:p>
        </w:tc>
        <w:tc>
          <w:tcPr>
            <w:tcW w:w="4626" w:type="dxa"/>
            <w:shd w:val="clear" w:color="auto" w:fill="2C398B"/>
          </w:tcPr>
          <w:p w14:paraId="208DEA84" w14:textId="3AF1F571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r w:rsidRPr="009315B2">
              <w:rPr>
                <w:rFonts w:ascii="Vollkorn" w:hAnsi="Vollkorn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 (ispunjava prijavitelj)</w:t>
            </w:r>
          </w:p>
        </w:tc>
      </w:tr>
      <w:tr w:rsidR="00334A41" w:rsidRPr="004E0AED" w14:paraId="07D17737" w14:textId="7F6A9494" w:rsidTr="00231443">
        <w:tc>
          <w:tcPr>
            <w:tcW w:w="1698" w:type="dxa"/>
          </w:tcPr>
          <w:p w14:paraId="085DD196" w14:textId="77777777" w:rsidR="00334A41" w:rsidRPr="004E0AED" w:rsidRDefault="00334A41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1.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</w:tcPr>
          <w:p w14:paraId="137AE656" w14:textId="4F1809A2" w:rsidR="00EA2BAF" w:rsidRPr="004E0AED" w:rsidRDefault="000304C8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Oprema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za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prikupljanje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="003D0F2C">
              <w:rPr>
                <w:rFonts w:ascii="Vollkorn" w:hAnsi="Vollkorn"/>
                <w:sz w:val="18"/>
                <w:szCs w:val="18"/>
              </w:rPr>
              <w:t xml:space="preserve">  </w:t>
            </w:r>
            <w:proofErr w:type="spellStart"/>
            <w:r w:rsidR="003D0F2C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3D0F2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3D0F2C">
              <w:rPr>
                <w:rFonts w:ascii="Vollkorn" w:hAnsi="Vollkorn"/>
                <w:sz w:val="18"/>
                <w:szCs w:val="18"/>
              </w:rPr>
              <w:t>reciklažna</w:t>
            </w:r>
            <w:proofErr w:type="spellEnd"/>
            <w:r w:rsidR="003D0F2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3D0F2C">
              <w:rPr>
                <w:rFonts w:ascii="Vollkorn" w:hAnsi="Vollkorn"/>
                <w:sz w:val="18"/>
                <w:szCs w:val="18"/>
              </w:rPr>
              <w:t>dvorišta</w:t>
            </w:r>
            <w:proofErr w:type="spellEnd"/>
          </w:p>
        </w:tc>
        <w:tc>
          <w:tcPr>
            <w:tcW w:w="426" w:type="dxa"/>
          </w:tcPr>
          <w:p w14:paraId="6CE31A60" w14:textId="6DB6A162" w:rsidR="00334A41" w:rsidRPr="004E0AED" w:rsidRDefault="00334A41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F77CA5C" w14:textId="3E30B5AE" w:rsidR="00334A41" w:rsidRPr="004E0AED" w:rsidRDefault="00334A41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119B246F" w14:textId="05C718B8" w:rsidR="00334A41" w:rsidRPr="004E0AED" w:rsidRDefault="00334A41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36D2EEAC" w14:textId="49E10222" w:rsidR="00334A41" w:rsidRPr="00DD2CE2" w:rsidRDefault="00334A41" w:rsidP="00334A41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sz w:val="18"/>
                <w:szCs w:val="18"/>
              </w:rPr>
            </w:pPr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CA0969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 se</w:t>
            </w:r>
            <w:r w:rsidRPr="00CA0969">
              <w:rPr>
                <w:rFonts w:ascii="Cambria Math" w:hAnsi="Cambria Math"/>
                <w:i/>
                <w:sz w:val="18"/>
                <w:szCs w:val="18"/>
              </w:rPr>
              <w:t>*</w:t>
            </w:r>
          </w:p>
        </w:tc>
      </w:tr>
      <w:tr w:rsidR="00DD2CE2" w:rsidRPr="004E0AED" w14:paraId="79C43C0A" w14:textId="551B0E88" w:rsidTr="00231443">
        <w:tc>
          <w:tcPr>
            <w:tcW w:w="3397" w:type="dxa"/>
            <w:gridSpan w:val="2"/>
          </w:tcPr>
          <w:p w14:paraId="09D73800" w14:textId="5F88D0E1" w:rsidR="00DD2CE2" w:rsidRPr="004E0AED" w:rsidRDefault="002F2B31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2.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Prilagodba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klimatskim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promjenama</w:t>
            </w:r>
            <w:proofErr w:type="spellEnd"/>
          </w:p>
        </w:tc>
        <w:tc>
          <w:tcPr>
            <w:tcW w:w="426" w:type="dxa"/>
          </w:tcPr>
          <w:p w14:paraId="208C0243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63F88E6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3E73C11D" w14:textId="77777777" w:rsidR="00DD2CE2" w:rsidRPr="004E0AED" w:rsidRDefault="00DD2CE2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0A094D47" w14:textId="75A78DEF" w:rsidR="00DD2CE2" w:rsidRPr="00CA0969" w:rsidRDefault="00054499" w:rsidP="00521FC3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sz w:val="18"/>
                <w:szCs w:val="18"/>
              </w:rPr>
            </w:pPr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CA0969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 se</w:t>
            </w:r>
            <w:r w:rsidRPr="00CA0969">
              <w:rPr>
                <w:rFonts w:ascii="Cambria Math" w:hAnsi="Cambria Math"/>
                <w:i/>
                <w:sz w:val="18"/>
                <w:szCs w:val="18"/>
              </w:rPr>
              <w:t>*</w:t>
            </w:r>
          </w:p>
        </w:tc>
      </w:tr>
      <w:tr w:rsidR="00DD2CE2" w:rsidRPr="004E0AED" w14:paraId="0CDAECE9" w14:textId="21E6566A" w:rsidTr="00231443">
        <w:tc>
          <w:tcPr>
            <w:tcW w:w="3397" w:type="dxa"/>
            <w:gridSpan w:val="2"/>
          </w:tcPr>
          <w:p w14:paraId="784048E9" w14:textId="0351842D" w:rsidR="00DD2CE2" w:rsidRPr="004E0AED" w:rsidRDefault="002F2B31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3.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korištenje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resursa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14:paraId="553A0775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E3CF43D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73728EBD" w14:textId="77777777" w:rsidR="00DD2CE2" w:rsidRPr="004E0AED" w:rsidRDefault="00DD2CE2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1C8DEE23" w14:textId="37FD0861" w:rsidR="00DD2CE2" w:rsidRPr="00CA0969" w:rsidRDefault="00054499" w:rsidP="00521FC3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sz w:val="18"/>
                <w:szCs w:val="18"/>
              </w:rPr>
            </w:pPr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CA0969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 se</w:t>
            </w:r>
            <w:r w:rsidRPr="00CA0969">
              <w:rPr>
                <w:rFonts w:ascii="Cambria Math" w:hAnsi="Cambria Math"/>
                <w:i/>
                <w:sz w:val="18"/>
                <w:szCs w:val="18"/>
              </w:rPr>
              <w:t>*</w:t>
            </w:r>
          </w:p>
        </w:tc>
      </w:tr>
      <w:tr w:rsidR="00DD2CE2" w:rsidRPr="004E0AED" w14:paraId="3670C9EC" w14:textId="0BF56F16" w:rsidTr="00231443">
        <w:tc>
          <w:tcPr>
            <w:tcW w:w="3397" w:type="dxa"/>
            <w:gridSpan w:val="2"/>
          </w:tcPr>
          <w:p w14:paraId="45BF710C" w14:textId="40FB8873" w:rsidR="00DD2CE2" w:rsidRPr="004E0AED" w:rsidRDefault="002F2B31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4.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Kružno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gospodarstvo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sprečavanje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nastanka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i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recikliranje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</w:p>
        </w:tc>
        <w:tc>
          <w:tcPr>
            <w:tcW w:w="426" w:type="dxa"/>
          </w:tcPr>
          <w:p w14:paraId="5C60C15C" w14:textId="7A109876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E6C4C3" w14:textId="69B5CFB1" w:rsidR="00DD2CE2" w:rsidRPr="004E0AED" w:rsidRDefault="00334A41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4626" w:type="dxa"/>
          </w:tcPr>
          <w:p w14:paraId="5E171440" w14:textId="66305388" w:rsidR="00DD2CE2" w:rsidRPr="004E0AED" w:rsidRDefault="00334A41" w:rsidP="000304C8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prihvatljiva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za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intervenciju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630F42">
              <w:rPr>
                <w:rFonts w:ascii="Vollkorn" w:hAnsi="Vollkorn"/>
                <w:sz w:val="18"/>
                <w:szCs w:val="18"/>
              </w:rPr>
              <w:t>oznak</w:t>
            </w:r>
            <w:r w:rsidRPr="00177CAD">
              <w:rPr>
                <w:rFonts w:ascii="Vollkorn" w:hAnsi="Vollkorn"/>
                <w:sz w:val="18"/>
                <w:szCs w:val="18"/>
              </w:rPr>
              <w:t>e</w:t>
            </w:r>
            <w:proofErr w:type="spellEnd"/>
            <w:r w:rsidRPr="00177CAD">
              <w:rPr>
                <w:rFonts w:ascii="Vollkorn" w:hAnsi="Vollkorn"/>
                <w:sz w:val="18"/>
                <w:szCs w:val="18"/>
              </w:rPr>
              <w:t xml:space="preserve"> 042</w:t>
            </w:r>
            <w:r w:rsidR="00E154B5" w:rsidRPr="00177CAD">
              <w:rPr>
                <w:rFonts w:ascii="Vollkorn" w:hAnsi="Vollkorn"/>
                <w:sz w:val="18"/>
                <w:szCs w:val="18"/>
              </w:rPr>
              <w:t>a</w:t>
            </w:r>
            <w:r w:rsidRPr="00630F42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630F42">
              <w:rPr>
                <w:rFonts w:ascii="Vollkorn" w:hAnsi="Vollkorn"/>
                <w:sz w:val="18"/>
                <w:szCs w:val="18"/>
              </w:rPr>
              <w:t>Prilogu</w:t>
            </w:r>
            <w:proofErr w:type="spellEnd"/>
            <w:r w:rsidRPr="00630F42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630F42">
              <w:rPr>
                <w:rFonts w:ascii="Vollkorn" w:hAnsi="Vollkorn"/>
                <w:sz w:val="18"/>
                <w:szCs w:val="18"/>
              </w:rPr>
              <w:t>Uredbe</w:t>
            </w:r>
            <w:proofErr w:type="spellEnd"/>
            <w:r w:rsidRPr="00630F42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630F42">
              <w:rPr>
                <w:rFonts w:ascii="Vollkorn" w:hAnsi="Vollkorn"/>
                <w:sz w:val="18"/>
                <w:szCs w:val="18"/>
              </w:rPr>
              <w:t>uspostavi</w:t>
            </w:r>
            <w:proofErr w:type="spellEnd"/>
            <w:r w:rsidRPr="00630F42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630F42">
              <w:rPr>
                <w:rFonts w:ascii="Vollkorn" w:hAnsi="Vollkorn"/>
                <w:sz w:val="18"/>
                <w:szCs w:val="18"/>
              </w:rPr>
              <w:t>Mehanizma</w:t>
            </w:r>
            <w:proofErr w:type="spellEnd"/>
            <w:r w:rsidRPr="00630F42">
              <w:rPr>
                <w:rFonts w:ascii="Vollkorn" w:hAnsi="Vollkorn"/>
                <w:sz w:val="18"/>
                <w:szCs w:val="18"/>
              </w:rPr>
              <w:t xml:space="preserve"> za </w:t>
            </w:r>
            <w:proofErr w:type="spellStart"/>
            <w:r w:rsidRPr="00630F42">
              <w:rPr>
                <w:rFonts w:ascii="Vollkorn" w:hAnsi="Vollkorn"/>
                <w:sz w:val="18"/>
                <w:szCs w:val="18"/>
              </w:rPr>
              <w:t>oporavak</w:t>
            </w:r>
            <w:proofErr w:type="spellEnd"/>
            <w:r w:rsidRPr="00630F42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630F42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630F42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630F42">
              <w:rPr>
                <w:rFonts w:ascii="Vollkorn" w:hAnsi="Vollkorn"/>
                <w:sz w:val="18"/>
                <w:szCs w:val="18"/>
              </w:rPr>
              <w:t>otpornost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s  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koeficijentom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od 100% za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izračun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potpore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za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okolišne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ciljeve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>.</w:t>
            </w:r>
            <w:r w:rsidR="002A36F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priroda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intervencije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izravno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podupiru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kružnog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gospodarstva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. </w:t>
            </w:r>
          </w:p>
        </w:tc>
        <w:tc>
          <w:tcPr>
            <w:tcW w:w="4626" w:type="dxa"/>
          </w:tcPr>
          <w:p w14:paraId="01824C2D" w14:textId="77777777" w:rsidR="00334A41" w:rsidRPr="00232F61" w:rsidRDefault="00334A41" w:rsidP="00334A41">
            <w:pPr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61B36593" w14:textId="648F65C0" w:rsidR="00DD2CE2" w:rsidRPr="00CA0969" w:rsidRDefault="00334A41" w:rsidP="00334A41">
            <w:pPr>
              <w:pStyle w:val="NormalKomponente"/>
              <w:spacing w:before="0" w:after="0"/>
              <w:rPr>
                <w:rFonts w:ascii="Vollkorn" w:hAnsi="Vollkorn"/>
                <w:i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 konkretan projektni prijedlog  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="00177CAD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pozvati 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>se na dokumente i provedene procedure kojima se potvrđuje sukladnost projektnog prijedloga s navedenim načelima.</w:t>
            </w:r>
          </w:p>
        </w:tc>
      </w:tr>
      <w:tr w:rsidR="00334A41" w:rsidRPr="004E0AED" w14:paraId="145F274B" w14:textId="3A4C964A" w:rsidTr="00231443">
        <w:trPr>
          <w:trHeight w:val="777"/>
        </w:trPr>
        <w:tc>
          <w:tcPr>
            <w:tcW w:w="1698" w:type="dxa"/>
          </w:tcPr>
          <w:p w14:paraId="0D4C9606" w14:textId="77777777" w:rsidR="00334A41" w:rsidRPr="004E0AED" w:rsidRDefault="00334A41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5.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Sprečavanje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kontrola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zraka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</w:tcPr>
          <w:p w14:paraId="1FFF2114" w14:textId="42907C25" w:rsidR="00EA2BAF" w:rsidRPr="004E0AED" w:rsidRDefault="000304C8" w:rsidP="003B1BD5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Oprema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za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prikupljanje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="003D0F2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3D0F2C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3D0F2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3D0F2C">
              <w:rPr>
                <w:rFonts w:ascii="Vollkorn" w:hAnsi="Vollkorn"/>
                <w:sz w:val="18"/>
                <w:szCs w:val="18"/>
              </w:rPr>
              <w:t>reciklažna</w:t>
            </w:r>
            <w:proofErr w:type="spellEnd"/>
            <w:r w:rsidR="003D0F2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3D0F2C">
              <w:rPr>
                <w:rFonts w:ascii="Vollkorn" w:hAnsi="Vollkorn"/>
                <w:sz w:val="18"/>
                <w:szCs w:val="18"/>
              </w:rPr>
              <w:t>dvorišta</w:t>
            </w:r>
            <w:proofErr w:type="spellEnd"/>
          </w:p>
        </w:tc>
        <w:tc>
          <w:tcPr>
            <w:tcW w:w="426" w:type="dxa"/>
          </w:tcPr>
          <w:p w14:paraId="19A4B48A" w14:textId="3BC25841" w:rsidR="00334A41" w:rsidRPr="004E0AED" w:rsidRDefault="000304C8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EAED56B" w14:textId="0284B78E" w:rsidR="00334A41" w:rsidRPr="004E0AED" w:rsidRDefault="00334A41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743E480E" w14:textId="7D6829A5" w:rsidR="00334A41" w:rsidRPr="004E0AED" w:rsidRDefault="00334A41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272E5F37" w14:textId="632BA35B" w:rsidR="00334A41" w:rsidRPr="00DD2CE2" w:rsidRDefault="000304C8" w:rsidP="003214A9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sz w:val="18"/>
                <w:szCs w:val="18"/>
              </w:rPr>
            </w:pPr>
            <w:r w:rsidRPr="00232F61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232F61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232F61">
              <w:rPr>
                <w:rFonts w:ascii="Vollkorn" w:hAnsi="Vollkorn"/>
                <w:i/>
                <w:sz w:val="18"/>
                <w:szCs w:val="18"/>
              </w:rPr>
              <w:t xml:space="preserve"> se*</w:t>
            </w:r>
          </w:p>
        </w:tc>
      </w:tr>
      <w:tr w:rsidR="00DD2CE2" w:rsidRPr="004E0AED" w14:paraId="352D0DFA" w14:textId="39077BA6" w:rsidTr="00231443">
        <w:tc>
          <w:tcPr>
            <w:tcW w:w="3397" w:type="dxa"/>
            <w:gridSpan w:val="2"/>
          </w:tcPr>
          <w:p w14:paraId="2173126F" w14:textId="1EF009B0" w:rsidR="00DD2CE2" w:rsidRPr="004E0AED" w:rsidRDefault="002F2B31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6.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obnova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</w:p>
        </w:tc>
        <w:tc>
          <w:tcPr>
            <w:tcW w:w="426" w:type="dxa"/>
          </w:tcPr>
          <w:p w14:paraId="5696E9EA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6989BAF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57997512" w14:textId="77777777" w:rsidR="00DD2CE2" w:rsidRPr="004E0AED" w:rsidRDefault="00DD2CE2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6F1F71C2" w14:textId="10C1021A" w:rsidR="00DD2CE2" w:rsidRPr="004E0AED" w:rsidRDefault="00521FC3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232F61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232F61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232F61">
              <w:rPr>
                <w:rFonts w:ascii="Vollkorn" w:hAnsi="Vollkorn"/>
                <w:i/>
                <w:sz w:val="18"/>
                <w:szCs w:val="18"/>
              </w:rPr>
              <w:t xml:space="preserve"> se*</w:t>
            </w:r>
          </w:p>
        </w:tc>
      </w:tr>
    </w:tbl>
    <w:p w14:paraId="6D4C4520" w14:textId="30D7CCB7" w:rsidR="00054499" w:rsidRPr="00054499" w:rsidRDefault="00054499" w:rsidP="00DD2CE2">
      <w:pPr>
        <w:rPr>
          <w:rFonts w:ascii="Arial Narrow" w:hAnsi="Arial Narrow" w:cs="Arial"/>
          <w:b/>
          <w:bCs/>
          <w:sz w:val="20"/>
          <w:szCs w:val="20"/>
        </w:rPr>
      </w:pPr>
      <w:r w:rsidRPr="00054499">
        <w:rPr>
          <w:rFonts w:ascii="Arial Narrow" w:hAnsi="Arial Narrow" w:cs="Arial"/>
          <w:b/>
          <w:bCs/>
          <w:sz w:val="20"/>
          <w:szCs w:val="20"/>
        </w:rPr>
        <w:t xml:space="preserve">* Ovaj dio </w:t>
      </w:r>
      <w:r>
        <w:rPr>
          <w:rFonts w:ascii="Arial Narrow" w:hAnsi="Arial Narrow" w:cs="Arial"/>
          <w:b/>
          <w:bCs/>
          <w:sz w:val="20"/>
          <w:szCs w:val="20"/>
        </w:rPr>
        <w:t>p</w:t>
      </w:r>
      <w:r w:rsidRPr="00054499">
        <w:rPr>
          <w:rFonts w:ascii="Arial Narrow" w:hAnsi="Arial Narrow" w:cs="Arial"/>
          <w:b/>
          <w:bCs/>
          <w:sz w:val="20"/>
          <w:szCs w:val="20"/>
        </w:rPr>
        <w:t>rijavitelj ispunjava i obrazlaže u Kontrolnoj listi 2</w:t>
      </w:r>
    </w:p>
    <w:p w14:paraId="5D83EB73" w14:textId="77777777" w:rsidR="00334A41" w:rsidRDefault="00334A41" w:rsidP="00DD2CE2">
      <w:pPr>
        <w:rPr>
          <w:rFonts w:ascii="Arial Narrow" w:hAnsi="Arial Narrow" w:cs="Arial"/>
          <w:b/>
          <w:bCs/>
          <w:szCs w:val="20"/>
        </w:rPr>
      </w:pPr>
    </w:p>
    <w:p w14:paraId="5EF9B4B1" w14:textId="77777777" w:rsidR="00D85907" w:rsidRPr="00E26C8B" w:rsidRDefault="00D85907" w:rsidP="00D85907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t>Kontrolna lista</w:t>
      </w:r>
      <w:r>
        <w:rPr>
          <w:rFonts w:ascii="Arial Narrow" w:hAnsi="Arial Narrow" w:cs="Arial"/>
          <w:b/>
          <w:bCs/>
          <w:szCs w:val="20"/>
        </w:rPr>
        <w:t xml:space="preserve"> 2</w:t>
      </w:r>
    </w:p>
    <w:tbl>
      <w:tblPr>
        <w:tblStyle w:val="Reetkatablice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96"/>
        <w:gridCol w:w="1357"/>
        <w:gridCol w:w="807"/>
        <w:gridCol w:w="5120"/>
        <w:gridCol w:w="3957"/>
      </w:tblGrid>
      <w:tr w:rsidR="00D85907" w:rsidRPr="00151E16" w14:paraId="01A31106" w14:textId="77777777" w:rsidTr="007C1CE6">
        <w:tc>
          <w:tcPr>
            <w:tcW w:w="3053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2C95D11B" w14:textId="77777777" w:rsidR="00D85907" w:rsidRPr="004E0AED" w:rsidRDefault="00D85907" w:rsidP="00231443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Pitanje</w:t>
            </w:r>
            <w:proofErr w:type="spellEnd"/>
          </w:p>
          <w:p w14:paraId="0A83B461" w14:textId="77777777" w:rsidR="00D85907" w:rsidRPr="004E0AED" w:rsidRDefault="00D85907" w:rsidP="00231443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79ABB039" w14:textId="77777777" w:rsidR="00D85907" w:rsidRPr="004E0AED" w:rsidRDefault="00D85907" w:rsidP="00231443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4A946362" w14:textId="77777777" w:rsidR="00D85907" w:rsidRPr="004E0AED" w:rsidRDefault="00D85907" w:rsidP="00231443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0761A3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Materijalno obrazloženje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39B57700" w14:textId="77777777" w:rsidR="00D85907" w:rsidRPr="000761A3" w:rsidRDefault="00D85907" w:rsidP="00231443">
            <w:pPr>
              <w:pStyle w:val="NormalKomponente"/>
              <w:jc w:val="center"/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</w:pPr>
            <w:r w:rsidRPr="009315B2">
              <w:rPr>
                <w:rFonts w:ascii="Vollkorn" w:hAnsi="Vollkorn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 (ispunjava prijavitelj)</w:t>
            </w:r>
          </w:p>
        </w:tc>
      </w:tr>
      <w:tr w:rsidR="000304C8" w:rsidRPr="00151E16" w14:paraId="418B7CC9" w14:textId="77777777" w:rsidTr="007C1CE6">
        <w:trPr>
          <w:trHeight w:val="1194"/>
        </w:trPr>
        <w:tc>
          <w:tcPr>
            <w:tcW w:w="169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7D0B45F" w14:textId="77777777" w:rsidR="000304C8" w:rsidRPr="004E0AED" w:rsidRDefault="000304C8" w:rsidP="000304C8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stakleničkih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plinova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13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CA48C42" w14:textId="3C418795" w:rsidR="000304C8" w:rsidRPr="004E0AED" w:rsidRDefault="00CE775C" w:rsidP="003B1BD5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>
              <w:rPr>
                <w:rFonts w:ascii="Vollkorn" w:hAnsi="Vollkorn"/>
                <w:sz w:val="18"/>
                <w:szCs w:val="18"/>
              </w:rPr>
              <w:t>Infrastruktura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ekonomičan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prijevoz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FA5ACEC" w14:textId="5872EAA4" w:rsidR="000304C8" w:rsidRPr="004E0AED" w:rsidRDefault="000304C8" w:rsidP="000304C8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AD492C2" w14:textId="1AF2845C" w:rsidR="000304C8" w:rsidRDefault="00285BE3" w:rsidP="000304C8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>
              <w:rPr>
                <w:rFonts w:ascii="Vollkorn" w:hAnsi="Vollkorn"/>
                <w:sz w:val="18"/>
                <w:szCs w:val="18"/>
              </w:rPr>
              <w:t>Projekt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treba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rezultirati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izgradnjom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infrastrukture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za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prijevoz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udaljene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lokacije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gdje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obrađivati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Izgradnjom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središnjeg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mjesta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prihvata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eliminiraju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količine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stakleničkih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plinova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koje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bi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inače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nastale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višekratnim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prijevozom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iz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udaljenih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dijelova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regije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mjesta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konačnog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zbrinjavanja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, u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ovom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slučaju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centara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za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gospodarenje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otpadom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Mjesto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prihvata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biti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projektirano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izgrađeno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način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koji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svodi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najmanju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moguću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mjeru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. Ova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infrastruktura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uz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obavezno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pridržavanje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biti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iskorištena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mjesto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privremenog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prihvata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odvojeno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sakupljenog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kojeg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građani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mogu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predati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 xml:space="preserve"> bez </w:t>
            </w:r>
            <w:proofErr w:type="spellStart"/>
            <w:r w:rsidR="00B75CE6" w:rsidRPr="00B75CE6">
              <w:rPr>
                <w:rFonts w:ascii="Vollkorn" w:hAnsi="Vollkorn"/>
                <w:sz w:val="18"/>
                <w:szCs w:val="18"/>
              </w:rPr>
              <w:t>naknade</w:t>
            </w:r>
            <w:proofErr w:type="spellEnd"/>
            <w:r w:rsidR="00B75CE6" w:rsidRPr="00B75CE6">
              <w:rPr>
                <w:rFonts w:ascii="Vollkorn" w:hAnsi="Vollkorn"/>
                <w:sz w:val="18"/>
                <w:szCs w:val="18"/>
              </w:rPr>
              <w:t>.</w:t>
            </w:r>
          </w:p>
          <w:p w14:paraId="617C1917" w14:textId="402BB989" w:rsidR="000304C8" w:rsidRPr="004E0AED" w:rsidRDefault="000304C8" w:rsidP="000304C8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0DB6863" w14:textId="77777777" w:rsidR="000304C8" w:rsidRPr="00BC4FB9" w:rsidRDefault="000304C8" w:rsidP="000304C8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BC4FB9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2C40806C" w14:textId="54EF1C41" w:rsidR="000304C8" w:rsidRPr="004E0AED" w:rsidRDefault="000304C8" w:rsidP="00F74ABA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 xml:space="preserve">Opisati na koji način konkretan projektni prijedlog  zadovoljava navedena načela </w:t>
            </w:r>
            <w:r w:rsidR="009664D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 xml:space="preserve"> </w:t>
            </w:r>
            <w:r w:rsidR="00F328C2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i</w:t>
            </w:r>
            <w:r w:rsidR="009664D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D85907" w:rsidRPr="00151E16" w14:paraId="5D03646B" w14:textId="77777777" w:rsidTr="007C1CE6">
        <w:tc>
          <w:tcPr>
            <w:tcW w:w="3053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8189E77" w14:textId="1BFDA6CE" w:rsidR="00D85907" w:rsidRPr="004E0AED" w:rsidRDefault="00D85907" w:rsidP="003C5AD1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povećanog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sadašnje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očekivane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buduće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samu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ljude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imovinu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383ED23" w14:textId="77777777" w:rsidR="00D85907" w:rsidRPr="004E0AED" w:rsidRDefault="00D85907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72D0A23" w14:textId="1998B9AE" w:rsidR="00D85907" w:rsidRPr="004E0AED" w:rsidRDefault="008A2A71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>
              <w:rPr>
                <w:rFonts w:ascii="Vollkorn" w:hAnsi="Vollkorn"/>
                <w:sz w:val="18"/>
                <w:szCs w:val="18"/>
              </w:rPr>
              <w:t>Kroz</w:t>
            </w:r>
            <w:proofErr w:type="spellEnd"/>
            <w:r w:rsidR="00BD31C1" w:rsidRPr="00BD31C1">
              <w:rPr>
                <w:rFonts w:ascii="Vollkorn" w:hAnsi="Vollkorn"/>
                <w:sz w:val="18"/>
                <w:szCs w:val="18"/>
              </w:rPr>
              <w:t xml:space="preserve"> </w:t>
            </w:r>
            <w:r>
              <w:rPr>
                <w:rFonts w:ascii="Vollkorn" w:hAnsi="Vollkorn"/>
                <w:sz w:val="18"/>
                <w:szCs w:val="18"/>
              </w:rPr>
              <w:t>O</w:t>
            </w:r>
            <w:r w:rsidR="00BD31C1" w:rsidRPr="00BD31C1">
              <w:rPr>
                <w:rFonts w:ascii="Vollkorn" w:hAnsi="Vollkorn"/>
                <w:sz w:val="18"/>
                <w:szCs w:val="18"/>
              </w:rPr>
              <w:t>PUO</w:t>
            </w:r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razrađene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za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klimatske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promjene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tj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visoke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temperature,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ekstremne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oborine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eroziju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.  Za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sve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temelju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projekcija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rizika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ranjivosti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Zaključci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ugrađeni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oblikovanje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3272AF">
              <w:rPr>
                <w:rFonts w:ascii="Vollkorn" w:hAnsi="Vollkorn"/>
                <w:sz w:val="18"/>
                <w:szCs w:val="18"/>
              </w:rPr>
              <w:t>projekta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15EAEA49" w14:textId="77777777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  <w:p w14:paraId="516C7BEA" w14:textId="77777777" w:rsidR="00D85907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Obveza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djelovati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napore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fizičke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ljudi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imovinu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ostale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ekonomske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usklađeni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sektorskim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regionalnim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nacionalnim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naporima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702AB8E0" w14:textId="777B54AE" w:rsidR="00A10894" w:rsidRPr="004E0AED" w:rsidRDefault="00A10894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320358B8" w14:textId="77777777" w:rsidR="00D85907" w:rsidRPr="00BC4FB9" w:rsidRDefault="00D85907" w:rsidP="00231443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BC4FB9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456F61B0" w14:textId="3CAF2179" w:rsidR="00D85907" w:rsidRPr="004E0AED" w:rsidRDefault="00D85907" w:rsidP="00F74ABA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D85907" w:rsidRPr="00151E16" w14:paraId="6BE9C14E" w14:textId="77777777" w:rsidTr="007C1CE6">
        <w:tc>
          <w:tcPr>
            <w:tcW w:w="3053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63041A6" w14:textId="77777777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korištenje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resursa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</w:p>
          <w:p w14:paraId="645362E8" w14:textId="77777777" w:rsidR="00D85907" w:rsidRPr="004E0AED" w:rsidRDefault="00D85907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ekološkom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potencijalu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tijela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površinske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6E0643CE" w14:textId="77777777" w:rsidR="00D85907" w:rsidRPr="004E0AED" w:rsidRDefault="00D85907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podzemne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 </w:t>
            </w:r>
          </w:p>
          <w:p w14:paraId="01643AC3" w14:textId="77777777" w:rsidR="00D85907" w:rsidRPr="004E0AED" w:rsidRDefault="00D85907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  <w:p w14:paraId="7D2F074E" w14:textId="77777777" w:rsidR="00D85907" w:rsidRPr="004E0AED" w:rsidRDefault="00D85907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 xml:space="preserve">(ii)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0382B95" w14:textId="77777777" w:rsidR="00D85907" w:rsidRPr="004E0AED" w:rsidRDefault="00D85907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5ECB5E4" w14:textId="3D1C6FA2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00216">
              <w:rPr>
                <w:rFonts w:ascii="Vollkorn" w:hAnsi="Vollkorn"/>
                <w:sz w:val="18"/>
                <w:szCs w:val="18"/>
              </w:rPr>
              <w:t>projekta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neznatan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predvidiv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negativan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računa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izravnim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primarnim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neizravnim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čitavom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vijeku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  <w:p w14:paraId="750ABF98" w14:textId="77777777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  <w:p w14:paraId="38652D45" w14:textId="175ABF08" w:rsidR="00D85907" w:rsidRPr="004E0AED" w:rsidRDefault="0002187E" w:rsidP="003A0692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>
              <w:rPr>
                <w:rFonts w:ascii="Vollkorn" w:hAnsi="Vollkorn"/>
                <w:sz w:val="18"/>
                <w:szCs w:val="18"/>
              </w:rPr>
              <w:t>P</w:t>
            </w:r>
            <w:r w:rsidR="00D85907" w:rsidRPr="004E0AED">
              <w:rPr>
                <w:rFonts w:ascii="Vollkorn" w:hAnsi="Vollkorn"/>
                <w:sz w:val="18"/>
                <w:szCs w:val="18"/>
              </w:rPr>
              <w:t>ostrojenja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neće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rezultirati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rizicima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narušavanja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stanja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koji se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odnose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kakvoće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vodni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stres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Okvirnom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direktivom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vodama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(2000/60/EZ). </w:t>
            </w:r>
            <w:r w:rsidR="005805ED">
              <w:rPr>
                <w:rFonts w:ascii="Vollkorn" w:hAnsi="Vollkorn"/>
                <w:sz w:val="18"/>
                <w:szCs w:val="18"/>
              </w:rPr>
              <w:t>U</w:t>
            </w:r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Direktivom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2011/92/EU</w:t>
            </w:r>
            <w:r w:rsidR="00E14A8C" w:rsidRPr="00E14A8C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="00E14A8C" w:rsidRPr="00E14A8C">
              <w:rPr>
                <w:rFonts w:ascii="Vollkorn" w:hAnsi="Vollkorn"/>
                <w:sz w:val="18"/>
                <w:szCs w:val="18"/>
              </w:rPr>
              <w:t>procjeni</w:t>
            </w:r>
            <w:proofErr w:type="spellEnd"/>
            <w:r w:rsidR="00E14A8C" w:rsidRPr="00E14A8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E14A8C" w:rsidRPr="00E14A8C">
              <w:rPr>
                <w:rFonts w:ascii="Vollkorn" w:hAnsi="Vollkorn"/>
                <w:sz w:val="18"/>
                <w:szCs w:val="18"/>
              </w:rPr>
              <w:t>učinaka</w:t>
            </w:r>
            <w:proofErr w:type="spellEnd"/>
            <w:r w:rsidR="00E14A8C" w:rsidRPr="00E14A8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E14A8C" w:rsidRPr="00E14A8C">
              <w:rPr>
                <w:rFonts w:ascii="Vollkorn" w:hAnsi="Vollkorn"/>
                <w:sz w:val="18"/>
                <w:szCs w:val="18"/>
              </w:rPr>
              <w:t>određenih</w:t>
            </w:r>
            <w:proofErr w:type="spellEnd"/>
            <w:r w:rsidR="00E14A8C" w:rsidRPr="00E14A8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E14A8C" w:rsidRPr="00E14A8C">
              <w:rPr>
                <w:rFonts w:ascii="Vollkorn" w:hAnsi="Vollkorn"/>
                <w:sz w:val="18"/>
                <w:szCs w:val="18"/>
              </w:rPr>
              <w:t>javnih</w:t>
            </w:r>
            <w:proofErr w:type="spellEnd"/>
            <w:r w:rsidR="00E14A8C" w:rsidRPr="00E14A8C">
              <w:rPr>
                <w:rFonts w:ascii="Vollkorn" w:hAnsi="Vollkorn"/>
                <w:sz w:val="18"/>
                <w:szCs w:val="18"/>
              </w:rPr>
              <w:t xml:space="preserve"> i </w:t>
            </w:r>
            <w:r w:rsidR="00E14A8C" w:rsidRPr="00E14A8C">
              <w:rPr>
                <w:rFonts w:ascii="Vollkorn" w:hAnsi="Vollkorn"/>
                <w:sz w:val="18"/>
                <w:szCs w:val="18"/>
              </w:rPr>
              <w:lastRenderedPageBreak/>
              <w:t xml:space="preserve">privatnih projekata na okoliš </w:t>
            </w:r>
            <w:r w:rsidR="002A36F0" w:rsidRPr="00E14A8C">
              <w:rPr>
                <w:rFonts w:ascii="Vollkorn" w:hAnsi="Vollkorn"/>
                <w:sz w:val="18"/>
                <w:szCs w:val="18"/>
              </w:rPr>
              <w:t xml:space="preserve">i Direktivom 2014/52/EU o </w:t>
            </w:r>
            <w:proofErr w:type="spellStart"/>
            <w:r w:rsidR="002A36F0" w:rsidRPr="00E14A8C">
              <w:rPr>
                <w:rFonts w:ascii="Vollkorn" w:hAnsi="Vollkorn"/>
                <w:sz w:val="18"/>
                <w:szCs w:val="18"/>
              </w:rPr>
              <w:t>izmjeni</w:t>
            </w:r>
            <w:proofErr w:type="spellEnd"/>
            <w:r w:rsidR="002A36F0" w:rsidRPr="00E14A8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2A36F0" w:rsidRPr="00E14A8C">
              <w:rPr>
                <w:rFonts w:ascii="Vollkorn" w:hAnsi="Vollkorn"/>
                <w:sz w:val="18"/>
                <w:szCs w:val="18"/>
              </w:rPr>
              <w:t>Direktive</w:t>
            </w:r>
            <w:proofErr w:type="spellEnd"/>
            <w:r w:rsidR="002A36F0" w:rsidRPr="00E14A8C">
              <w:rPr>
                <w:rFonts w:ascii="Vollkorn" w:hAnsi="Vollkorn"/>
                <w:sz w:val="18"/>
                <w:szCs w:val="18"/>
              </w:rPr>
              <w:t xml:space="preserve"> 2011/92/EU</w:t>
            </w:r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, u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fazi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postupka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ocjene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potrebi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974C3F">
              <w:rPr>
                <w:rFonts w:ascii="Vollkorn" w:hAnsi="Vollkorn"/>
                <w:sz w:val="18"/>
                <w:szCs w:val="18"/>
              </w:rPr>
              <w:t>treba</w:t>
            </w:r>
            <w:proofErr w:type="spellEnd"/>
            <w:r w:rsidR="00974C3F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974C3F">
              <w:rPr>
                <w:rFonts w:ascii="Vollkorn" w:hAnsi="Vollkorn"/>
                <w:sz w:val="18"/>
                <w:szCs w:val="18"/>
              </w:rPr>
              <w:t>biti</w:t>
            </w:r>
            <w:proofErr w:type="spellEnd"/>
            <w:r w:rsidR="00974C3F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zaključeno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je da se ne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očekuju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značajni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utjecaji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3431E">
              <w:rPr>
                <w:rFonts w:ascii="Vollkorn" w:hAnsi="Vollkorn"/>
                <w:sz w:val="18"/>
                <w:szCs w:val="18"/>
              </w:rPr>
              <w:t>projekta</w:t>
            </w:r>
            <w:proofErr w:type="spellEnd"/>
            <w:r w:rsidR="00D85907" w:rsidRPr="0043431E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C867E12" w14:textId="77777777" w:rsidR="00D85907" w:rsidRDefault="00D85907" w:rsidP="00231443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lastRenderedPageBreak/>
              <w:t>Obrazloženje ISPUNJAVA PRIJAVITELJ:</w:t>
            </w:r>
          </w:p>
          <w:p w14:paraId="6E9F2F62" w14:textId="0096607D" w:rsidR="00D85907" w:rsidRPr="004E0AED" w:rsidRDefault="00D85907" w:rsidP="00F74ABA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BF3008" w:rsidRPr="00151E16" w14:paraId="3C26D6ED" w14:textId="77777777" w:rsidTr="007C1CE6">
        <w:trPr>
          <w:trHeight w:val="3293"/>
        </w:trPr>
        <w:tc>
          <w:tcPr>
            <w:tcW w:w="169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1A9AD2C" w14:textId="77777777" w:rsidR="00BF3008" w:rsidRPr="004E0AED" w:rsidRDefault="00BF3008" w:rsidP="00BF3008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Sprječavanje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kontrola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povećanja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onečišćujućih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tvari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(4)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zrak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13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56530BF" w14:textId="72E4E8BB" w:rsidR="00BF3008" w:rsidRPr="004E0AED" w:rsidRDefault="00BF3008" w:rsidP="00BF3008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>
              <w:rPr>
                <w:rFonts w:ascii="Vollkorn" w:hAnsi="Vollkorn"/>
                <w:sz w:val="18"/>
                <w:szCs w:val="18"/>
              </w:rPr>
              <w:t>Infrastruktura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ekonomičan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prijevoz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60BFF54" w14:textId="77777777" w:rsidR="00BF3008" w:rsidRPr="004E0AED" w:rsidRDefault="00BF3008" w:rsidP="00BF3008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1436B81" w14:textId="5628961D" w:rsidR="00DF0901" w:rsidRPr="009B6B80" w:rsidRDefault="00DF0901" w:rsidP="009B6B80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Središnja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mjesta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prikupljanja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</w:t>
            </w:r>
            <w:r w:rsidR="00C712FF">
              <w:rPr>
                <w:rFonts w:ascii="Vollkorn" w:hAnsi="Vollkorn"/>
                <w:sz w:val="18"/>
                <w:szCs w:val="18"/>
              </w:rPr>
              <w:t>(</w:t>
            </w:r>
            <w:proofErr w:type="spellStart"/>
            <w:r w:rsidR="00C712FF">
              <w:rPr>
                <w:rFonts w:ascii="Vollkorn" w:hAnsi="Vollkorn"/>
                <w:sz w:val="18"/>
                <w:szCs w:val="18"/>
              </w:rPr>
              <w:t>pretovarne</w:t>
            </w:r>
            <w:proofErr w:type="spellEnd"/>
            <w:r w:rsidR="00C712FF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C712FF">
              <w:rPr>
                <w:rFonts w:ascii="Vollkorn" w:hAnsi="Vollkorn"/>
                <w:sz w:val="18"/>
                <w:szCs w:val="18"/>
              </w:rPr>
              <w:t>stanice</w:t>
            </w:r>
            <w:proofErr w:type="spellEnd"/>
            <w:r w:rsidR="00C712FF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podliježu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sljedećim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kriterijima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: </w:t>
            </w:r>
          </w:p>
          <w:p w14:paraId="627FF4E6" w14:textId="05A6F5F0" w:rsidR="00DF0901" w:rsidRPr="009B6B80" w:rsidRDefault="00DF0901" w:rsidP="009B6B80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9B6B80">
              <w:rPr>
                <w:rFonts w:ascii="Vollkorn" w:hAnsi="Vollkorn"/>
                <w:sz w:val="18"/>
                <w:szCs w:val="18"/>
              </w:rPr>
              <w:t>•</w:t>
            </w:r>
            <w:r w:rsidRPr="009B6B80">
              <w:rPr>
                <w:rFonts w:ascii="Vollkorn" w:hAnsi="Vollkorn"/>
                <w:sz w:val="18"/>
                <w:szCs w:val="18"/>
              </w:rPr>
              <w:tab/>
            </w:r>
            <w:proofErr w:type="spellStart"/>
            <w:r w:rsidR="00C712FF">
              <w:rPr>
                <w:rFonts w:ascii="Vollkorn" w:hAnsi="Vollkorn"/>
                <w:sz w:val="18"/>
                <w:szCs w:val="18"/>
              </w:rPr>
              <w:t>n</w:t>
            </w:r>
            <w:r w:rsidRPr="009B6B80">
              <w:rPr>
                <w:rFonts w:ascii="Vollkorn" w:hAnsi="Vollkorn"/>
                <w:sz w:val="18"/>
                <w:szCs w:val="18"/>
              </w:rPr>
              <w:t>a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lokaciji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lokacijama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biti uspostavljen sustav kojim se sprječava prodor procjednih voda u podzemne vode,</w:t>
            </w:r>
          </w:p>
          <w:p w14:paraId="06352648" w14:textId="77777777" w:rsidR="00BF3008" w:rsidRDefault="00DF0901" w:rsidP="009B6B80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9B6B80">
              <w:rPr>
                <w:rFonts w:ascii="Vollkorn" w:hAnsi="Vollkorn"/>
                <w:sz w:val="18"/>
                <w:szCs w:val="18"/>
              </w:rPr>
              <w:t>•</w:t>
            </w:r>
            <w:r w:rsidRPr="009B6B80">
              <w:rPr>
                <w:rFonts w:ascii="Vollkorn" w:hAnsi="Vollkorn"/>
                <w:sz w:val="18"/>
                <w:szCs w:val="18"/>
              </w:rPr>
              <w:tab/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prilikom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gradnje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infrastrukture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treba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pridržavati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9B6B80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9B6B80">
              <w:rPr>
                <w:rFonts w:ascii="Vollkorn" w:hAnsi="Vollkorn"/>
                <w:sz w:val="18"/>
                <w:szCs w:val="18"/>
              </w:rPr>
              <w:t>.</w:t>
            </w:r>
          </w:p>
          <w:p w14:paraId="400A5513" w14:textId="77777777" w:rsidR="00C712FF" w:rsidRPr="00C712FF" w:rsidRDefault="00C712FF" w:rsidP="00C712FF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C712FF">
              <w:rPr>
                <w:rFonts w:ascii="Vollkorn" w:hAnsi="Vollkorn"/>
                <w:sz w:val="18"/>
                <w:szCs w:val="18"/>
              </w:rPr>
              <w:t>U skladu s Direktivom 2011/92/EU i Direktivom 2014/52/EU o izmjeni Direktive 2011/92/EU, kako bi projekt bio prihvatljiv, kroz postupak OPUO mora biti zaključeno da se ne očekuju značajni utjecaji projekta na ovaj cilj.</w:t>
            </w:r>
          </w:p>
          <w:p w14:paraId="77A4FDB4" w14:textId="11CB1C11" w:rsidR="00C712FF" w:rsidRPr="009B6B80" w:rsidRDefault="00C712FF" w:rsidP="009B6B80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FA5E8F7" w14:textId="77777777" w:rsidR="00BF3008" w:rsidRDefault="00BF3008" w:rsidP="00BF3008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6AE707E5" w14:textId="61745474" w:rsidR="00BF3008" w:rsidRPr="004E0AED" w:rsidRDefault="00BF3008" w:rsidP="00BF3008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 xml:space="preserve">pisati na koji način konkretan projektni prijedlog  zadovoljava navedena načela </w:t>
            </w:r>
            <w:r w:rsidR="00545928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i</w:t>
            </w:r>
            <w:r w:rsidR="009664D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D85907" w:rsidRPr="00151E16" w14:paraId="7CE30769" w14:textId="77777777" w:rsidTr="007C1CE6">
        <w:tc>
          <w:tcPr>
            <w:tcW w:w="3053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B6B672C" w14:textId="77777777" w:rsidR="00D85907" w:rsidRPr="004E0AED" w:rsidRDefault="00D85907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obnova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0261CD8B" w14:textId="77777777" w:rsidR="00D85907" w:rsidRPr="004E0AED" w:rsidRDefault="00D85907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(ii)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biljnih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životinjskih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one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od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interesa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za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D16F6B4" w14:textId="77777777" w:rsidR="00D85907" w:rsidRPr="004E0AED" w:rsidRDefault="00D85907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E3F0DC8" w14:textId="101FB6AB" w:rsidR="007F0F4A" w:rsidRDefault="00307B1B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>
              <w:rPr>
                <w:rFonts w:ascii="Vollkorn" w:hAnsi="Vollkorn"/>
                <w:sz w:val="18"/>
                <w:szCs w:val="18"/>
              </w:rPr>
              <w:t>P</w:t>
            </w:r>
            <w:r w:rsidR="00D85907" w:rsidRPr="004E0AED">
              <w:rPr>
                <w:rFonts w:ascii="Vollkorn" w:hAnsi="Vollkorn"/>
                <w:sz w:val="18"/>
                <w:szCs w:val="18"/>
              </w:rPr>
              <w:t>rovedena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="003B1BD5">
              <w:rPr>
                <w:rFonts w:ascii="Vollkorn" w:hAnsi="Vollkorn"/>
                <w:sz w:val="18"/>
                <w:szCs w:val="18"/>
              </w:rPr>
              <w:t>ocjena</w:t>
            </w:r>
            <w:proofErr w:type="spellEnd"/>
            <w:r w:rsidR="00C94237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="00C94237">
              <w:rPr>
                <w:rFonts w:ascii="Vollkorn" w:hAnsi="Vollkorn"/>
                <w:sz w:val="18"/>
                <w:szCs w:val="18"/>
              </w:rPr>
              <w:t>potrebi</w:t>
            </w:r>
            <w:proofErr w:type="spellEnd"/>
            <w:r w:rsidR="00C94237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C94237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="00C94237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C94237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="00C94237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C94237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="00C94237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C94237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="00C94237">
              <w:rPr>
                <w:rFonts w:ascii="Vollkorn" w:hAnsi="Vollkorn"/>
                <w:sz w:val="18"/>
                <w:szCs w:val="18"/>
              </w:rPr>
              <w:t xml:space="preserve"> (OPUO)</w:t>
            </w:r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smjernicama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EU-a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vezanima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uz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procjenu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(2014/52/EU)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stratešku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procjenu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(2001/42/EZ).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Zaključci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r w:rsidR="00F25C1E">
              <w:rPr>
                <w:rFonts w:ascii="Vollkorn" w:hAnsi="Vollkorn"/>
                <w:sz w:val="18"/>
                <w:szCs w:val="18"/>
              </w:rPr>
              <w:t>OPUO</w:t>
            </w:r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ugrađeni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oblikovanje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4B21D2">
              <w:rPr>
                <w:rFonts w:ascii="Vollkorn" w:hAnsi="Vollkorn"/>
                <w:sz w:val="18"/>
                <w:szCs w:val="18"/>
              </w:rPr>
              <w:t>projekt</w:t>
            </w:r>
            <w:r w:rsidR="006D58AB">
              <w:rPr>
                <w:rFonts w:ascii="Vollkorn" w:hAnsi="Vollkorn"/>
                <w:sz w:val="18"/>
                <w:szCs w:val="18"/>
              </w:rPr>
              <w:t>nog</w:t>
            </w:r>
            <w:proofErr w:type="spellEnd"/>
            <w:r w:rsidR="006D58AB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6D58AB">
              <w:rPr>
                <w:rFonts w:ascii="Vollkorn" w:hAnsi="Vollkorn"/>
                <w:sz w:val="18"/>
                <w:szCs w:val="18"/>
              </w:rPr>
              <w:t>prijedloga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>.</w:t>
            </w:r>
            <w:r w:rsidR="007F0F4A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1BB4915D" w14:textId="3DA7744B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Za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koji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nalaze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unutar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blizini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osjetljivih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mrežu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Natura 2000,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svjetske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baštine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UNESCO-a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ključna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(KBA),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), 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potencijalno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mogu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ta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odnosno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prihvatljivosti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odredbama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Strategije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EU-a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(COM(2011)244),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pticama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(2009/147/EZ)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(92/43/EZ)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ciljeva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zaštićenog</w:t>
            </w:r>
            <w:proofErr w:type="spellEnd"/>
            <w:r w:rsidR="00027EE6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027EE6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="00027EE6">
              <w:rPr>
                <w:rFonts w:ascii="Vollkorn" w:hAnsi="Vollkorn"/>
                <w:sz w:val="18"/>
                <w:szCs w:val="18"/>
              </w:rPr>
              <w:t>.</w:t>
            </w:r>
          </w:p>
          <w:p w14:paraId="7939550E" w14:textId="3BE24303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Za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takve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</w:t>
            </w:r>
            <w:r w:rsidR="00F31E84">
              <w:rPr>
                <w:rFonts w:ascii="Vollkorn" w:hAnsi="Vollkorn"/>
                <w:sz w:val="18"/>
                <w:szCs w:val="18"/>
              </w:rPr>
              <w:t>e</w:t>
            </w:r>
            <w:proofErr w:type="spellEnd"/>
            <w:r w:rsidR="00F31E84">
              <w:rPr>
                <w:rFonts w:ascii="Vollkorn" w:hAnsi="Vollkorn"/>
                <w:sz w:val="18"/>
                <w:szCs w:val="18"/>
              </w:rPr>
              <w:t xml:space="preserve"> </w:t>
            </w:r>
            <w:r w:rsidR="00CC5923">
              <w:rPr>
                <w:rFonts w:ascii="Vollkorn" w:hAnsi="Vollkorn"/>
                <w:sz w:val="18"/>
                <w:szCs w:val="18"/>
              </w:rPr>
              <w:t>OPUO/</w:t>
            </w:r>
            <w:r w:rsidRPr="004E0AED">
              <w:rPr>
                <w:rFonts w:ascii="Vollkorn" w:hAnsi="Vollkorn"/>
                <w:sz w:val="18"/>
                <w:szCs w:val="18"/>
              </w:rPr>
              <w:t xml:space="preserve">OPEM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plan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osigurat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sljedeće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:</w:t>
            </w:r>
          </w:p>
          <w:p w14:paraId="2780E3BD" w14:textId="1F790413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• plan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raznolikošću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koji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IFC-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Standardom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uspješnosti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6: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prirodnim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dobrima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;</w:t>
            </w:r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16AD81A2" w14:textId="76BF4FC0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•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potrebne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kako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bi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smanjili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staništa</w:t>
            </w:r>
            <w:proofErr w:type="spellEnd"/>
          </w:p>
          <w:p w14:paraId="1952F1A1" w14:textId="14583AAB" w:rsidR="00D85907" w:rsidRPr="004E0AED" w:rsidRDefault="003C5AD1" w:rsidP="003C5AD1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>•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uspostavljen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odgovarajuće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projektiran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dugoročan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program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praćenja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E0C75CC" w14:textId="77777777" w:rsidR="00D85907" w:rsidRDefault="00D85907" w:rsidP="00231443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lastRenderedPageBreak/>
              <w:t>Obrazloženje ISPUNJAVA PRIJAVITELJ:</w:t>
            </w:r>
          </w:p>
          <w:p w14:paraId="5F0FD173" w14:textId="1FC78801" w:rsidR="00D85907" w:rsidRPr="004E0AED" w:rsidRDefault="00D85907" w:rsidP="00F74ABA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</w:tbl>
    <w:p w14:paraId="2CA030CC" w14:textId="77777777" w:rsidR="00D85907" w:rsidRDefault="00D85907" w:rsidP="00D85907"/>
    <w:p w14:paraId="65F43BE4" w14:textId="42A100E0" w:rsidR="00334A41" w:rsidRDefault="00334A41" w:rsidP="00E96EF2">
      <w:pPr>
        <w:rPr>
          <w:rFonts w:ascii="Arial Narrow" w:hAnsi="Arial Narrow" w:cs="Arial"/>
          <w:b/>
          <w:bCs/>
          <w:szCs w:val="20"/>
        </w:rPr>
      </w:pPr>
    </w:p>
    <w:p w14:paraId="7ADD0FC3" w14:textId="77777777" w:rsidR="007C1CE6" w:rsidRDefault="007C1CE6" w:rsidP="00E96EF2">
      <w:pPr>
        <w:rPr>
          <w:rFonts w:ascii="Arial Narrow" w:hAnsi="Arial Narrow" w:cs="Arial"/>
          <w:b/>
          <w:bCs/>
          <w:szCs w:val="20"/>
        </w:rPr>
      </w:pPr>
    </w:p>
    <w:p w14:paraId="3657489C" w14:textId="77777777" w:rsidR="007C1CE6" w:rsidRDefault="007C1CE6" w:rsidP="00E96EF2">
      <w:pPr>
        <w:rPr>
          <w:rFonts w:ascii="Arial Narrow" w:hAnsi="Arial Narrow" w:cs="Arial"/>
          <w:b/>
          <w:bCs/>
          <w:szCs w:val="20"/>
        </w:rPr>
      </w:pPr>
    </w:p>
    <w:p w14:paraId="067DF34C" w14:textId="77777777" w:rsidR="007C1CE6" w:rsidRDefault="007C1CE6" w:rsidP="00E96EF2">
      <w:pPr>
        <w:rPr>
          <w:rFonts w:ascii="Arial Narrow" w:hAnsi="Arial Narrow" w:cs="Arial"/>
          <w:b/>
          <w:bCs/>
          <w:szCs w:val="20"/>
        </w:rPr>
      </w:pPr>
    </w:p>
    <w:p w14:paraId="5DBE9C17" w14:textId="77777777" w:rsidR="007C1CE6" w:rsidRDefault="007C1CE6" w:rsidP="00E96EF2">
      <w:pPr>
        <w:rPr>
          <w:rFonts w:ascii="Arial Narrow" w:hAnsi="Arial Narrow" w:cs="Arial"/>
          <w:b/>
          <w:bCs/>
          <w:szCs w:val="20"/>
        </w:rPr>
      </w:pPr>
    </w:p>
    <w:p w14:paraId="3A6AE07C" w14:textId="77777777" w:rsidR="007C1CE6" w:rsidRDefault="007C1CE6" w:rsidP="00E96EF2">
      <w:pPr>
        <w:rPr>
          <w:rFonts w:ascii="Arial Narrow" w:hAnsi="Arial Narrow" w:cs="Arial"/>
          <w:b/>
          <w:bCs/>
          <w:szCs w:val="20"/>
        </w:rPr>
      </w:pPr>
    </w:p>
    <w:sectPr w:rsidR="007C1CE6" w:rsidSect="005B739A">
      <w:footerReference w:type="default" r:id="rId8"/>
      <w:headerReference w:type="first" r:id="rId9"/>
      <w:footerReference w:type="first" r:id="rId10"/>
      <w:pgSz w:w="16838" w:h="11906" w:orient="landscape"/>
      <w:pgMar w:top="1135" w:right="1417" w:bottom="1417" w:left="1417" w:header="708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C655" w14:textId="77777777" w:rsidR="005B739A" w:rsidRDefault="005B739A" w:rsidP="009315B2">
      <w:pPr>
        <w:spacing w:after="0" w:line="240" w:lineRule="auto"/>
      </w:pPr>
      <w:r>
        <w:separator/>
      </w:r>
    </w:p>
  </w:endnote>
  <w:endnote w:type="continuationSeparator" w:id="0">
    <w:p w14:paraId="1DB11402" w14:textId="77777777" w:rsidR="005B739A" w:rsidRDefault="005B739A" w:rsidP="0093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ollkorn">
    <w:altName w:val="Cambria Math"/>
    <w:charset w:val="EE"/>
    <w:family w:val="auto"/>
    <w:pitch w:val="variable"/>
    <w:sig w:usb0="00000001" w:usb1="420060FB" w:usb2="03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401611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55099102"/>
          <w:docPartObj>
            <w:docPartGallery w:val="Page Numbers (Top of Page)"/>
            <w:docPartUnique/>
          </w:docPartObj>
        </w:sdtPr>
        <w:sdtEndPr/>
        <w:sdtContent>
          <w:p w14:paraId="7CB6B11E" w14:textId="4772977F" w:rsidR="00521FC3" w:rsidRPr="00054499" w:rsidRDefault="00521FC3" w:rsidP="00521FC3">
            <w:pPr>
              <w:pStyle w:val="Podnoje"/>
              <w:jc w:val="center"/>
              <w:rPr>
                <w:sz w:val="18"/>
                <w:szCs w:val="18"/>
              </w:rPr>
            </w:pPr>
            <w:r w:rsidRPr="00054499">
              <w:rPr>
                <w:sz w:val="18"/>
                <w:szCs w:val="18"/>
              </w:rPr>
              <w:t xml:space="preserve">Stranica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PAGE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840FC0">
              <w:rPr>
                <w:bCs/>
                <w:noProof/>
                <w:sz w:val="18"/>
                <w:szCs w:val="18"/>
              </w:rPr>
              <w:t>4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  <w:r w:rsidRPr="00054499">
              <w:rPr>
                <w:sz w:val="18"/>
                <w:szCs w:val="18"/>
              </w:rPr>
              <w:t xml:space="preserve"> od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NUMPAGES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840FC0">
              <w:rPr>
                <w:bCs/>
                <w:noProof/>
                <w:sz w:val="18"/>
                <w:szCs w:val="18"/>
              </w:rPr>
              <w:t>4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974AEB" w14:textId="77777777" w:rsidR="00521FC3" w:rsidRDefault="00521F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978015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197123888"/>
          <w:docPartObj>
            <w:docPartGallery w:val="Page Numbers (Top of Page)"/>
            <w:docPartUnique/>
          </w:docPartObj>
        </w:sdtPr>
        <w:sdtEndPr/>
        <w:sdtContent>
          <w:p w14:paraId="1774023C" w14:textId="5FEF1553" w:rsidR="00054499" w:rsidRPr="00054499" w:rsidRDefault="00054499">
            <w:pPr>
              <w:pStyle w:val="Podnoje"/>
              <w:jc w:val="center"/>
              <w:rPr>
                <w:sz w:val="18"/>
                <w:szCs w:val="18"/>
              </w:rPr>
            </w:pPr>
            <w:r w:rsidRPr="00054499">
              <w:rPr>
                <w:sz w:val="18"/>
                <w:szCs w:val="18"/>
              </w:rPr>
              <w:t xml:space="preserve">Stranica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PAGE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840FC0">
              <w:rPr>
                <w:bCs/>
                <w:noProof/>
                <w:sz w:val="18"/>
                <w:szCs w:val="18"/>
              </w:rPr>
              <w:t>1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  <w:r w:rsidRPr="00054499">
              <w:rPr>
                <w:sz w:val="18"/>
                <w:szCs w:val="18"/>
              </w:rPr>
              <w:t xml:space="preserve"> od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NUMPAGES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840FC0">
              <w:rPr>
                <w:bCs/>
                <w:noProof/>
                <w:sz w:val="18"/>
                <w:szCs w:val="18"/>
              </w:rPr>
              <w:t>4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28363C" w14:textId="77777777" w:rsidR="00054499" w:rsidRDefault="000544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DFE6" w14:textId="77777777" w:rsidR="005B739A" w:rsidRDefault="005B739A" w:rsidP="009315B2">
      <w:pPr>
        <w:spacing w:after="0" w:line="240" w:lineRule="auto"/>
      </w:pPr>
      <w:r>
        <w:separator/>
      </w:r>
    </w:p>
  </w:footnote>
  <w:footnote w:type="continuationSeparator" w:id="0">
    <w:p w14:paraId="2F5F7A6F" w14:textId="77777777" w:rsidR="005B739A" w:rsidRDefault="005B739A" w:rsidP="0093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536D" w14:textId="77777777" w:rsidR="00054499" w:rsidRPr="00054499" w:rsidRDefault="00054499" w:rsidP="00054499">
    <w:pPr>
      <w:pStyle w:val="Zaglavlje"/>
      <w:jc w:val="left"/>
      <w:rPr>
        <w:rFonts w:ascii="Times New Roman" w:hAnsi="Times New Roman"/>
        <w:b/>
        <w:color w:val="767171" w:themeColor="background2" w:themeShade="80"/>
        <w:sz w:val="24"/>
        <w:szCs w:val="24"/>
      </w:rPr>
    </w:pPr>
    <w:r w:rsidRPr="00054499">
      <w:rPr>
        <w:rFonts w:ascii="Times New Roman" w:hAnsi="Times New Roman"/>
        <w:b/>
        <w:color w:val="767171" w:themeColor="background2" w:themeShade="80"/>
        <w:sz w:val="24"/>
        <w:szCs w:val="24"/>
      </w:rPr>
      <w:t xml:space="preserve">OBRAZAC 4 </w:t>
    </w:r>
  </w:p>
  <w:p w14:paraId="13DAE677" w14:textId="77777777" w:rsidR="00054499" w:rsidRDefault="000544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439"/>
    <w:multiLevelType w:val="hybridMultilevel"/>
    <w:tmpl w:val="EF7AA792"/>
    <w:lvl w:ilvl="0" w:tplc="9D7C27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15051"/>
    <w:multiLevelType w:val="multilevel"/>
    <w:tmpl w:val="79E857A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  <w:color w:val="2C398B"/>
      </w:rPr>
    </w:lvl>
    <w:lvl w:ilvl="1">
      <w:start w:val="1"/>
      <w:numFmt w:val="decimal"/>
      <w:pStyle w:val="Naslov2"/>
      <w:lvlText w:val="%2."/>
      <w:lvlJc w:val="left"/>
      <w:pPr>
        <w:ind w:left="1890" w:hanging="720"/>
      </w:pPr>
      <w:rPr>
        <w:rFonts w:ascii="Lucida Sans" w:hAnsi="Lucida Sans" w:hint="default"/>
        <w:color w:val="C00000"/>
      </w:rPr>
    </w:lvl>
    <w:lvl w:ilvl="2">
      <w:start w:val="1"/>
      <w:numFmt w:val="decimal"/>
      <w:lvlText w:val="%2.%3."/>
      <w:lvlJc w:val="left"/>
      <w:pPr>
        <w:ind w:left="2610" w:hanging="720"/>
      </w:pPr>
      <w:rPr>
        <w:rFonts w:ascii="Lucida Sans" w:hAnsi="Lucida San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."/>
      <w:lvlJc w:val="left"/>
      <w:pPr>
        <w:ind w:left="369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2.%3.%4.%5."/>
      <w:lvlJc w:val="left"/>
      <w:pPr>
        <w:ind w:left="441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0" w:hanging="2160"/>
      </w:pPr>
      <w:rPr>
        <w:rFonts w:hint="default"/>
      </w:rPr>
    </w:lvl>
  </w:abstractNum>
  <w:abstractNum w:abstractNumId="2" w15:restartNumberingAfterBreak="0">
    <w:nsid w:val="6B3C1E0F"/>
    <w:multiLevelType w:val="hybridMultilevel"/>
    <w:tmpl w:val="B2D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96E0E"/>
    <w:multiLevelType w:val="hybridMultilevel"/>
    <w:tmpl w:val="D92031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C014E"/>
    <w:multiLevelType w:val="hybridMultilevel"/>
    <w:tmpl w:val="63506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0617821">
    <w:abstractNumId w:val="1"/>
  </w:num>
  <w:num w:numId="2" w16cid:durableId="709916731">
    <w:abstractNumId w:val="4"/>
  </w:num>
  <w:num w:numId="3" w16cid:durableId="1365592502">
    <w:abstractNumId w:val="0"/>
  </w:num>
  <w:num w:numId="4" w16cid:durableId="1313101644">
    <w:abstractNumId w:val="3"/>
  </w:num>
  <w:num w:numId="5" w16cid:durableId="1093478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67"/>
    <w:rsid w:val="0000505F"/>
    <w:rsid w:val="0002187E"/>
    <w:rsid w:val="00026C54"/>
    <w:rsid w:val="00027EE6"/>
    <w:rsid w:val="000304C8"/>
    <w:rsid w:val="00036CDF"/>
    <w:rsid w:val="00043566"/>
    <w:rsid w:val="00054499"/>
    <w:rsid w:val="00094B73"/>
    <w:rsid w:val="00113D01"/>
    <w:rsid w:val="00163D1F"/>
    <w:rsid w:val="00177CAD"/>
    <w:rsid w:val="001B6DC6"/>
    <w:rsid w:val="001C4A53"/>
    <w:rsid w:val="001D7E85"/>
    <w:rsid w:val="001E18C6"/>
    <w:rsid w:val="002305BA"/>
    <w:rsid w:val="00231443"/>
    <w:rsid w:val="00232F61"/>
    <w:rsid w:val="00285BE3"/>
    <w:rsid w:val="002A36F0"/>
    <w:rsid w:val="002D4D72"/>
    <w:rsid w:val="002E2E48"/>
    <w:rsid w:val="002F2B31"/>
    <w:rsid w:val="0030022C"/>
    <w:rsid w:val="00307B1B"/>
    <w:rsid w:val="003214A9"/>
    <w:rsid w:val="003272AF"/>
    <w:rsid w:val="00334A41"/>
    <w:rsid w:val="0037312C"/>
    <w:rsid w:val="003A0692"/>
    <w:rsid w:val="003A6578"/>
    <w:rsid w:val="003A680A"/>
    <w:rsid w:val="003B1BD5"/>
    <w:rsid w:val="003C5AD1"/>
    <w:rsid w:val="003D0F2C"/>
    <w:rsid w:val="00475984"/>
    <w:rsid w:val="00496EB4"/>
    <w:rsid w:val="004B21D2"/>
    <w:rsid w:val="004E0AED"/>
    <w:rsid w:val="00521FC3"/>
    <w:rsid w:val="005359C4"/>
    <w:rsid w:val="00545928"/>
    <w:rsid w:val="005805ED"/>
    <w:rsid w:val="005B739A"/>
    <w:rsid w:val="005C531E"/>
    <w:rsid w:val="00615D6D"/>
    <w:rsid w:val="00630F42"/>
    <w:rsid w:val="00684C3E"/>
    <w:rsid w:val="006A12B4"/>
    <w:rsid w:val="006A7967"/>
    <w:rsid w:val="006D20D7"/>
    <w:rsid w:val="006D58AB"/>
    <w:rsid w:val="00722793"/>
    <w:rsid w:val="00724163"/>
    <w:rsid w:val="0075565D"/>
    <w:rsid w:val="00763266"/>
    <w:rsid w:val="007718AB"/>
    <w:rsid w:val="007801BB"/>
    <w:rsid w:val="007C1CE6"/>
    <w:rsid w:val="007F0F4A"/>
    <w:rsid w:val="0083082B"/>
    <w:rsid w:val="00840FC0"/>
    <w:rsid w:val="00882087"/>
    <w:rsid w:val="008A2A71"/>
    <w:rsid w:val="008C35CC"/>
    <w:rsid w:val="008C486A"/>
    <w:rsid w:val="009315B2"/>
    <w:rsid w:val="009664D1"/>
    <w:rsid w:val="00974C3F"/>
    <w:rsid w:val="009B6B80"/>
    <w:rsid w:val="00A10894"/>
    <w:rsid w:val="00A170AB"/>
    <w:rsid w:val="00AE7DC9"/>
    <w:rsid w:val="00AF10FB"/>
    <w:rsid w:val="00B75CE6"/>
    <w:rsid w:val="00BD31C1"/>
    <w:rsid w:val="00BE61EB"/>
    <w:rsid w:val="00BF3008"/>
    <w:rsid w:val="00C23C61"/>
    <w:rsid w:val="00C339C6"/>
    <w:rsid w:val="00C67592"/>
    <w:rsid w:val="00C712FF"/>
    <w:rsid w:val="00C71873"/>
    <w:rsid w:val="00C94237"/>
    <w:rsid w:val="00CA0969"/>
    <w:rsid w:val="00CB0073"/>
    <w:rsid w:val="00CC5923"/>
    <w:rsid w:val="00CE775C"/>
    <w:rsid w:val="00D00216"/>
    <w:rsid w:val="00D17CF9"/>
    <w:rsid w:val="00D36D6C"/>
    <w:rsid w:val="00D67042"/>
    <w:rsid w:val="00D85907"/>
    <w:rsid w:val="00D93AC8"/>
    <w:rsid w:val="00D93EA8"/>
    <w:rsid w:val="00DB10EC"/>
    <w:rsid w:val="00DD2CE2"/>
    <w:rsid w:val="00DD4A60"/>
    <w:rsid w:val="00DF0901"/>
    <w:rsid w:val="00E14A8C"/>
    <w:rsid w:val="00E154B5"/>
    <w:rsid w:val="00E96794"/>
    <w:rsid w:val="00E96EF2"/>
    <w:rsid w:val="00EA2BAF"/>
    <w:rsid w:val="00F15799"/>
    <w:rsid w:val="00F25C1E"/>
    <w:rsid w:val="00F31E84"/>
    <w:rsid w:val="00F328C2"/>
    <w:rsid w:val="00F51E83"/>
    <w:rsid w:val="00F566B9"/>
    <w:rsid w:val="00F74ABA"/>
    <w:rsid w:val="00FA4BEA"/>
    <w:rsid w:val="00F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A69C4"/>
  <w15:chartTrackingRefBased/>
  <w15:docId w15:val="{F502CFF0-62A7-4C97-A65F-B9C7C8B5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41"/>
    <w:pPr>
      <w:spacing w:after="120" w:line="276" w:lineRule="auto"/>
      <w:jc w:val="both"/>
    </w:pPr>
    <w:rPr>
      <w:rFonts w:ascii="Arial" w:eastAsia="Calibri" w:hAnsi="Arial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3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967"/>
    <w:pPr>
      <w:keepNext/>
      <w:numPr>
        <w:ilvl w:val="1"/>
        <w:numId w:val="1"/>
      </w:numPr>
      <w:spacing w:before="120" w:after="240"/>
      <w:jc w:val="left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5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6C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A7967"/>
    <w:rPr>
      <w:rFonts w:ascii="Arial" w:eastAsia="Calibri" w:hAnsi="Arial" w:cs="Times New Roman"/>
      <w:b/>
      <w:sz w:val="28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3,Akapit z listą BS,Bullet1,Bullets,Ha,Heading 11,IBL List Paragraph,L,List Paragraph (numbered (a)),List Paragraph 1,List Paragraph nowy,List Paragraph-ExecSummary,List_Paragraph,Liste 1,Multilevel para_II,ReferencesCxSpLast,l,lp1,본문(내용)"/>
    <w:basedOn w:val="Normal"/>
    <w:link w:val="OdlomakpopisaChar"/>
    <w:uiPriority w:val="34"/>
    <w:qFormat/>
    <w:rsid w:val="002305BA"/>
    <w:pPr>
      <w:spacing w:before="120" w:after="60" w:line="240" w:lineRule="auto"/>
      <w:jc w:val="left"/>
    </w:pPr>
    <w:rPr>
      <w:color w:val="000000"/>
    </w:rPr>
  </w:style>
  <w:style w:type="character" w:customStyle="1" w:styleId="OdlomakpopisaChar">
    <w:name w:val="Odlomak popisa Char"/>
    <w:aliases w:val="3 Char,Akapit z listą BS Char,Bullet1 Char,Bullets Char,Ha Char,Heading 11 Char,IBL List Paragraph Char,L Char,List Paragraph (numbered (a)) Char,List Paragraph 1 Char,List Paragraph nowy Char,List Paragraph-ExecSummary Char,l Char"/>
    <w:link w:val="Odlomakpopisa"/>
    <w:uiPriority w:val="34"/>
    <w:locked/>
    <w:rsid w:val="002305BA"/>
    <w:rPr>
      <w:rFonts w:ascii="Arial" w:eastAsia="Calibri" w:hAnsi="Arial" w:cs="Times New Roman"/>
      <w:color w:val="000000"/>
      <w:lang w:eastAsia="hr-HR"/>
    </w:rPr>
  </w:style>
  <w:style w:type="table" w:customStyle="1" w:styleId="TableGrid11">
    <w:name w:val="Table Grid11"/>
    <w:basedOn w:val="Obinatablica"/>
    <w:next w:val="Reetkatablice"/>
    <w:uiPriority w:val="39"/>
    <w:rsid w:val="002305BA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Komponente">
    <w:name w:val="Normal Komponente"/>
    <w:basedOn w:val="Normal"/>
    <w:link w:val="NormalKomponenteChar"/>
    <w:qFormat/>
    <w:rsid w:val="002305BA"/>
    <w:pPr>
      <w:widowControl w:val="0"/>
      <w:autoSpaceDE w:val="0"/>
      <w:autoSpaceDN w:val="0"/>
      <w:spacing w:before="60" w:after="60"/>
    </w:pPr>
    <w:rPr>
      <w:lang w:val="en-US"/>
    </w:rPr>
  </w:style>
  <w:style w:type="character" w:customStyle="1" w:styleId="NormalKomponenteChar">
    <w:name w:val="Normal Komponente Char"/>
    <w:link w:val="NormalKomponente"/>
    <w:rsid w:val="002305BA"/>
    <w:rPr>
      <w:rFonts w:ascii="Arial" w:eastAsia="Calibri" w:hAnsi="Arial" w:cs="Times New Roman"/>
      <w:lang w:val="en-US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6CDF"/>
    <w:rPr>
      <w:rFonts w:asciiTheme="majorHAnsi" w:eastAsiaTheme="majorEastAsia" w:hAnsiTheme="majorHAnsi" w:cstheme="majorBidi"/>
      <w:color w:val="1F4D78" w:themeColor="accent1" w:themeShade="7F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36C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59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5B2"/>
    <w:rPr>
      <w:rFonts w:ascii="Arial" w:eastAsia="Calibri" w:hAnsi="Arial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5B2"/>
    <w:rPr>
      <w:rFonts w:ascii="Arial" w:eastAsia="Calibri" w:hAnsi="Arial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5B2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E61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1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1EB"/>
    <w:rPr>
      <w:rFonts w:ascii="Arial" w:eastAsia="Calibri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1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1EB"/>
    <w:rPr>
      <w:rFonts w:ascii="Arial" w:eastAsia="Calibri" w:hAnsi="Arial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F328C2"/>
    <w:pPr>
      <w:spacing w:after="0" w:line="240" w:lineRule="auto"/>
    </w:pPr>
    <w:rPr>
      <w:rFonts w:ascii="Arial" w:eastAsia="Calibri" w:hAnsi="Arial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7E33-BE6D-4646-A8F5-456F3F28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Emić</dc:creator>
  <cp:keywords/>
  <dc:description/>
  <cp:lastModifiedBy>Branka Antunović</cp:lastModifiedBy>
  <cp:revision>2</cp:revision>
  <dcterms:created xsi:type="dcterms:W3CDTF">2024-04-11T10:49:00Z</dcterms:created>
  <dcterms:modified xsi:type="dcterms:W3CDTF">2024-04-11T10:49:00Z</dcterms:modified>
</cp:coreProperties>
</file>