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319" w:rsidRPr="00785067" w:rsidRDefault="009F0319" w:rsidP="009F0319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5067">
        <w:rPr>
          <w:rFonts w:ascii="Times New Roman" w:eastAsia="Times New Roman" w:hAnsi="Times New Roman" w:cs="Times New Roman"/>
          <w:b/>
          <w:sz w:val="24"/>
          <w:szCs w:val="24"/>
        </w:rPr>
        <w:t xml:space="preserve">Kontrolna lista za provjeru </w:t>
      </w:r>
    </w:p>
    <w:p w:rsidR="009F0319" w:rsidRPr="00785067" w:rsidRDefault="009F0319" w:rsidP="009F0319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85067">
        <w:rPr>
          <w:rStyle w:val="hps"/>
          <w:rFonts w:ascii="Times New Roman" w:hAnsi="Times New Roman" w:cs="Times New Roman"/>
          <w:b/>
          <w:sz w:val="24"/>
          <w:szCs w:val="24"/>
        </w:rPr>
        <w:t>prihvatljivosti prijavitelja i, ako je primjenjivo, partnera</w:t>
      </w:r>
    </w:p>
    <w:p w:rsidR="009F0319" w:rsidRPr="00785067" w:rsidRDefault="009F0319" w:rsidP="009F0319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26"/>
        <w:gridCol w:w="1478"/>
        <w:gridCol w:w="1589"/>
        <w:gridCol w:w="1730"/>
      </w:tblGrid>
      <w:tr w:rsidR="009F0319" w:rsidRPr="00785067" w:rsidTr="00F07574">
        <w:trPr>
          <w:jc w:val="center"/>
        </w:trPr>
        <w:tc>
          <w:tcPr>
            <w:tcW w:w="4901" w:type="dxa"/>
            <w:gridSpan w:val="2"/>
          </w:tcPr>
          <w:p w:rsidR="009F0319" w:rsidRPr="00785067" w:rsidRDefault="009F0319" w:rsidP="00F0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067">
              <w:rPr>
                <w:rFonts w:ascii="Times New Roman" w:eastAsia="Times New Roman" w:hAnsi="Times New Roman" w:cs="Times New Roman"/>
                <w:sz w:val="24"/>
                <w:szCs w:val="24"/>
              </w:rPr>
              <w:t>Naziv komponente/</w:t>
            </w:r>
            <w:proofErr w:type="spellStart"/>
            <w:r w:rsidRPr="00785067">
              <w:rPr>
                <w:rFonts w:ascii="Times New Roman" w:eastAsia="Times New Roman" w:hAnsi="Times New Roman" w:cs="Times New Roman"/>
                <w:sz w:val="24"/>
                <w:szCs w:val="24"/>
              </w:rPr>
              <w:t>podkomponente</w:t>
            </w:r>
            <w:proofErr w:type="spellEnd"/>
          </w:p>
        </w:tc>
        <w:tc>
          <w:tcPr>
            <w:tcW w:w="4797" w:type="dxa"/>
            <w:gridSpan w:val="3"/>
          </w:tcPr>
          <w:p w:rsidR="009F0319" w:rsidRPr="00785067" w:rsidRDefault="009F0319" w:rsidP="00F0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067">
              <w:rPr>
                <w:rFonts w:ascii="Times New Roman" w:hAnsi="Times New Roman" w:cs="Times New Roman"/>
                <w:sz w:val="24"/>
                <w:szCs w:val="24"/>
              </w:rPr>
              <w:t>C1. Gospodarstvo /C.1.3. Unaprjeđenje vodnog gospodarstva i gospodarenja otpadom</w:t>
            </w:r>
          </w:p>
        </w:tc>
      </w:tr>
      <w:tr w:rsidR="009F0319" w:rsidRPr="00785067" w:rsidTr="00F07574">
        <w:trPr>
          <w:jc w:val="center"/>
        </w:trPr>
        <w:tc>
          <w:tcPr>
            <w:tcW w:w="4901" w:type="dxa"/>
            <w:gridSpan w:val="2"/>
          </w:tcPr>
          <w:p w:rsidR="009F0319" w:rsidRPr="00785067" w:rsidRDefault="009F0319" w:rsidP="00F0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067">
              <w:rPr>
                <w:rFonts w:ascii="Times New Roman" w:hAnsi="Times New Roman" w:cs="Times New Roman"/>
                <w:sz w:val="24"/>
                <w:szCs w:val="24"/>
              </w:rPr>
              <w:t>Naziv ulaganja</w:t>
            </w:r>
          </w:p>
        </w:tc>
        <w:tc>
          <w:tcPr>
            <w:tcW w:w="4797" w:type="dxa"/>
            <w:gridSpan w:val="3"/>
          </w:tcPr>
          <w:p w:rsidR="009F0319" w:rsidRPr="00785067" w:rsidRDefault="002F74F0" w:rsidP="00F0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C1.3.</w:t>
            </w:r>
            <w:r w:rsidR="006570E1" w:rsidRPr="00785067">
              <w:rPr>
                <w:rFonts w:ascii="Times New Roman" w:eastAsia="Times New Roman" w:hAnsi="Times New Roman" w:cs="Times New Roman"/>
                <w:sz w:val="24"/>
                <w:szCs w:val="24"/>
              </w:rPr>
              <w:t>R2-I1 - Program smanjenja odlaganja otpada</w:t>
            </w:r>
          </w:p>
        </w:tc>
      </w:tr>
      <w:tr w:rsidR="009F0319" w:rsidRPr="00785067" w:rsidTr="00F07574">
        <w:trPr>
          <w:jc w:val="center"/>
        </w:trPr>
        <w:tc>
          <w:tcPr>
            <w:tcW w:w="4901" w:type="dxa"/>
            <w:gridSpan w:val="2"/>
          </w:tcPr>
          <w:p w:rsidR="009F0319" w:rsidRPr="00785067" w:rsidDel="0064609E" w:rsidRDefault="009F0319" w:rsidP="00F0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067">
              <w:rPr>
                <w:rFonts w:ascii="Times New Roman" w:eastAsia="Times New Roman" w:hAnsi="Times New Roman" w:cs="Times New Roman"/>
                <w:sz w:val="24"/>
                <w:szCs w:val="24"/>
              </w:rPr>
              <w:t>Kod poziva</w:t>
            </w:r>
          </w:p>
        </w:tc>
        <w:tc>
          <w:tcPr>
            <w:tcW w:w="4797" w:type="dxa"/>
            <w:gridSpan w:val="3"/>
          </w:tcPr>
          <w:p w:rsidR="009F0319" w:rsidRPr="00785067" w:rsidRDefault="006240EA" w:rsidP="00F0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NPOO.C1.3.R2-I1.04</w:t>
            </w:r>
            <w:bookmarkStart w:id="0" w:name="_GoBack"/>
            <w:bookmarkEnd w:id="0"/>
          </w:p>
        </w:tc>
      </w:tr>
      <w:tr w:rsidR="009F0319" w:rsidRPr="00785067" w:rsidTr="00F07574">
        <w:trPr>
          <w:trHeight w:val="180"/>
          <w:jc w:val="center"/>
        </w:trPr>
        <w:tc>
          <w:tcPr>
            <w:tcW w:w="4901" w:type="dxa"/>
            <w:gridSpan w:val="2"/>
          </w:tcPr>
          <w:p w:rsidR="009F0319" w:rsidRPr="00785067" w:rsidRDefault="009F0319" w:rsidP="00F0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Kod projekta </w:t>
            </w:r>
          </w:p>
        </w:tc>
        <w:tc>
          <w:tcPr>
            <w:tcW w:w="4797" w:type="dxa"/>
            <w:gridSpan w:val="3"/>
          </w:tcPr>
          <w:p w:rsidR="009F0319" w:rsidRPr="00785067" w:rsidRDefault="009F0319" w:rsidP="00F0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319" w:rsidRPr="00785067" w:rsidTr="00F07574">
        <w:trPr>
          <w:trHeight w:val="180"/>
          <w:jc w:val="center"/>
        </w:trPr>
        <w:tc>
          <w:tcPr>
            <w:tcW w:w="4901" w:type="dxa"/>
            <w:gridSpan w:val="2"/>
          </w:tcPr>
          <w:p w:rsidR="009F0319" w:rsidRPr="00785067" w:rsidRDefault="009F0319" w:rsidP="00F0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067">
              <w:rPr>
                <w:rFonts w:ascii="Times New Roman" w:eastAsia="Times New Roman" w:hAnsi="Times New Roman" w:cs="Times New Roman"/>
                <w:sz w:val="24"/>
                <w:szCs w:val="24"/>
              </w:rPr>
              <w:t>Naziv projektnog prijedloga</w:t>
            </w:r>
          </w:p>
        </w:tc>
        <w:tc>
          <w:tcPr>
            <w:tcW w:w="4797" w:type="dxa"/>
            <w:gridSpan w:val="3"/>
          </w:tcPr>
          <w:p w:rsidR="009F0319" w:rsidRPr="00785067" w:rsidRDefault="009F0319" w:rsidP="00F0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319" w:rsidRPr="00785067" w:rsidTr="00F07574">
        <w:trPr>
          <w:jc w:val="center"/>
        </w:trPr>
        <w:tc>
          <w:tcPr>
            <w:tcW w:w="4901" w:type="dxa"/>
            <w:gridSpan w:val="2"/>
          </w:tcPr>
          <w:p w:rsidR="009F0319" w:rsidRPr="00785067" w:rsidRDefault="009F0319" w:rsidP="00F0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067">
              <w:rPr>
                <w:rFonts w:ascii="Times New Roman" w:eastAsia="Times New Roman" w:hAnsi="Times New Roman" w:cs="Times New Roman"/>
                <w:sz w:val="24"/>
                <w:szCs w:val="24"/>
              </w:rPr>
              <w:t>Naziv prijavitelja</w:t>
            </w:r>
          </w:p>
        </w:tc>
        <w:tc>
          <w:tcPr>
            <w:tcW w:w="4797" w:type="dxa"/>
            <w:gridSpan w:val="3"/>
          </w:tcPr>
          <w:p w:rsidR="009F0319" w:rsidRPr="00785067" w:rsidRDefault="009F0319" w:rsidP="00F0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319" w:rsidRPr="00785067" w:rsidTr="00F07574">
        <w:trPr>
          <w:jc w:val="center"/>
        </w:trPr>
        <w:tc>
          <w:tcPr>
            <w:tcW w:w="675" w:type="dxa"/>
          </w:tcPr>
          <w:p w:rsidR="009F0319" w:rsidRPr="00785067" w:rsidRDefault="009F0319" w:rsidP="00F0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50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5704" w:type="dxa"/>
            <w:gridSpan w:val="2"/>
          </w:tcPr>
          <w:p w:rsidR="009F0319" w:rsidRPr="00785067" w:rsidRDefault="009F0319" w:rsidP="00F0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50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Pitanje za provjeru prihvatljivosti prijavitelja, partnera (ako je primjenjivo) te aktivnosti</w:t>
            </w:r>
          </w:p>
        </w:tc>
        <w:tc>
          <w:tcPr>
            <w:tcW w:w="1589" w:type="dxa"/>
          </w:tcPr>
          <w:p w:rsidR="009F0319" w:rsidRPr="00785067" w:rsidRDefault="009F0319" w:rsidP="00F0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50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Prva provjera</w:t>
            </w:r>
          </w:p>
          <w:p w:rsidR="009F0319" w:rsidRPr="00785067" w:rsidRDefault="009F0319" w:rsidP="00F0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5067">
              <w:rPr>
                <w:rFonts w:ascii="Times New Roman" w:eastAsia="Times New Roman" w:hAnsi="Times New Roman" w:cs="Times New Roman"/>
                <w:sz w:val="24"/>
                <w:szCs w:val="24"/>
              </w:rPr>
              <w:t>(Da/Ne)</w:t>
            </w:r>
          </w:p>
        </w:tc>
        <w:tc>
          <w:tcPr>
            <w:tcW w:w="1730" w:type="dxa"/>
          </w:tcPr>
          <w:p w:rsidR="009F0319" w:rsidRPr="00785067" w:rsidRDefault="009F0319" w:rsidP="00F0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50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Poslije zahtjeva</w:t>
            </w:r>
            <w:r w:rsidRPr="00785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50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 pojašnjenjima</w:t>
            </w:r>
            <w:r w:rsidRPr="00785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(Da/Ne)</w:t>
            </w:r>
          </w:p>
        </w:tc>
      </w:tr>
      <w:tr w:rsidR="009F0319" w:rsidRPr="00785067" w:rsidTr="00D25E91">
        <w:trPr>
          <w:trHeight w:val="1069"/>
          <w:jc w:val="center"/>
        </w:trPr>
        <w:tc>
          <w:tcPr>
            <w:tcW w:w="675" w:type="dxa"/>
          </w:tcPr>
          <w:p w:rsidR="009F0319" w:rsidRPr="00785067" w:rsidRDefault="009F0319" w:rsidP="00F0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06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4" w:type="dxa"/>
            <w:gridSpan w:val="2"/>
          </w:tcPr>
          <w:p w:rsidR="009F0319" w:rsidRPr="00785067" w:rsidRDefault="009F0319" w:rsidP="00F07574">
            <w:pPr>
              <w:tabs>
                <w:tab w:val="left" w:pos="0"/>
              </w:tabs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785067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Prijavitelj (potencijalni Korisnik, ako je primjenjivo i Partner) je prihvatljiv po obliku pravne ili fizičke osobnosti</w:t>
            </w:r>
            <w:r w:rsidRPr="00785067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1589" w:type="dxa"/>
          </w:tcPr>
          <w:p w:rsidR="009F0319" w:rsidRPr="00785067" w:rsidRDefault="009F0319" w:rsidP="00F0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9F0319" w:rsidRPr="00785067" w:rsidRDefault="009F0319" w:rsidP="00F0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319" w:rsidRPr="00785067" w:rsidTr="00D25E91">
        <w:trPr>
          <w:trHeight w:val="131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19" w:rsidRPr="00785067" w:rsidRDefault="009F0319" w:rsidP="00F0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067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19" w:rsidRPr="00785067" w:rsidRDefault="009F0319" w:rsidP="007B3330">
            <w:pPr>
              <w:tabs>
                <w:tab w:val="left" w:pos="0"/>
              </w:tabs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785067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Prijavitelj je jedinica lokalne samouprave </w:t>
            </w:r>
            <w:r w:rsidR="00FB4E6E" w:rsidRPr="00785067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a u slučaju Prijavitelja Grada Zagreba, isti nije Prijavitelj za </w:t>
            </w:r>
            <w:r w:rsidR="007B3330" w:rsidRPr="00785067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mobilno </w:t>
            </w:r>
            <w:proofErr w:type="spellStart"/>
            <w:r w:rsidR="00FB4E6E" w:rsidRPr="00785067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reciklažno</w:t>
            </w:r>
            <w:proofErr w:type="spellEnd"/>
            <w:r w:rsidR="00FB4E6E" w:rsidRPr="00785067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dvorište </w:t>
            </w:r>
            <w:r w:rsidRPr="00785067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(dokazuje se Prijavnim obrascem - Obrazac 1)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19" w:rsidRPr="00785067" w:rsidRDefault="009F0319" w:rsidP="00F0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19" w:rsidRPr="00785067" w:rsidRDefault="009F0319" w:rsidP="00F0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319" w:rsidRPr="00785067" w:rsidTr="00B94A9C">
        <w:trPr>
          <w:trHeight w:val="1069"/>
          <w:jc w:val="center"/>
        </w:trPr>
        <w:tc>
          <w:tcPr>
            <w:tcW w:w="675" w:type="dxa"/>
          </w:tcPr>
          <w:p w:rsidR="009F0319" w:rsidRPr="00785067" w:rsidRDefault="009F0319" w:rsidP="00F0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06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4" w:type="dxa"/>
            <w:gridSpan w:val="2"/>
          </w:tcPr>
          <w:p w:rsidR="009F0319" w:rsidRPr="00CD4F2D" w:rsidRDefault="009F0319" w:rsidP="00F07574">
            <w:pPr>
              <w:tabs>
                <w:tab w:val="left" w:pos="0"/>
              </w:tabs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D4F2D">
              <w:rPr>
                <w:rFonts w:ascii="Times New Roman" w:eastAsia="Cambria" w:hAnsi="Times New Roman" w:cs="Times New Roman"/>
                <w:bCs/>
                <w:i/>
                <w:iCs/>
                <w:sz w:val="24"/>
                <w:szCs w:val="24"/>
              </w:rPr>
              <w:t>Prijavitelj (potencijalni Korisnik, ako je primjenjivo i Partner) je prihvatljiv po drugim zahtjevima predmetnog postupka dodjele</w:t>
            </w:r>
            <w:r w:rsidRPr="00CD4F2D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1589" w:type="dxa"/>
          </w:tcPr>
          <w:p w:rsidR="009F0319" w:rsidRPr="00785067" w:rsidRDefault="009F0319" w:rsidP="00F0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9F0319" w:rsidRPr="00785067" w:rsidRDefault="009F0319" w:rsidP="00F0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2CD6" w:rsidRPr="00785067" w:rsidTr="00D25E91">
        <w:trPr>
          <w:trHeight w:val="221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D6" w:rsidRPr="00785067" w:rsidRDefault="00785067" w:rsidP="00126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6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D6" w:rsidRPr="00CD4F2D" w:rsidRDefault="006C2CD6" w:rsidP="00126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2D">
              <w:rPr>
                <w:rFonts w:ascii="Times New Roman" w:hAnsi="Times New Roman" w:cs="Times New Roman"/>
                <w:sz w:val="24"/>
                <w:szCs w:val="24"/>
              </w:rPr>
              <w:t>Prijavitelj ne podliježe neizvršenom nalogu za povrat sredstava, kako je navedeno u članku 1. točki 4. (a) Uredbe (EU) br. 651/2014, temeljem prethodne odluke Komisije kojom se potpora što ju je dodijelila država članica proglašava nezakonitom i nespojivom s unutarnjim tržištem (</w:t>
            </w:r>
            <w:r w:rsidRPr="00D8126F">
              <w:rPr>
                <w:rFonts w:ascii="Times New Roman" w:hAnsi="Times New Roman" w:cs="Times New Roman"/>
                <w:i/>
                <w:sz w:val="24"/>
                <w:szCs w:val="24"/>
              </w:rPr>
              <w:t>dokazuje se Izjavom prijavitelja - Obrazac 3</w:t>
            </w:r>
            <w:r w:rsidRPr="00CD4F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D6" w:rsidRPr="00785067" w:rsidRDefault="006C2CD6" w:rsidP="00126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D6" w:rsidRPr="00785067" w:rsidRDefault="006C2CD6" w:rsidP="00126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EF3" w:rsidRPr="00785067" w:rsidTr="00B94A9C">
        <w:trPr>
          <w:trHeight w:val="70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F3" w:rsidRPr="00785067" w:rsidRDefault="00A90EF3" w:rsidP="00785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85067" w:rsidRPr="007850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50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F3" w:rsidRPr="00CD4F2D" w:rsidRDefault="00096C1C" w:rsidP="00A9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2D">
              <w:rPr>
                <w:rFonts w:ascii="Times New Roman" w:hAnsi="Times New Roman" w:cs="Times New Roman"/>
                <w:sz w:val="24"/>
                <w:szCs w:val="24"/>
              </w:rPr>
              <w:t>Prijavitelj ili osoba ovlaštena po zakonu za zastupanje Prijavitelja (osobe koja je član upravnog, upravljačkog ili nadzornog tijela ili ima ovlasti zastupanja, donošenja odluka ili nadzora toga gospodarskog subjekta</w:t>
            </w:r>
            <w:r w:rsidRPr="00B04927">
              <w:rPr>
                <w:rFonts w:ascii="Times New Roman" w:hAnsi="Times New Roman" w:cs="Times New Roman"/>
                <w:sz w:val="24"/>
                <w:szCs w:val="24"/>
              </w:rPr>
              <w:t>) nije pravomoćno osuđena za jedno ili više kaznenih djela</w:t>
            </w:r>
            <w:r w:rsidRPr="00CD4F2D">
              <w:rPr>
                <w:rFonts w:ascii="Times New Roman" w:hAnsi="Times New Roman" w:cs="Times New Roman"/>
                <w:sz w:val="24"/>
                <w:szCs w:val="24"/>
              </w:rPr>
              <w:t xml:space="preserve">, koja su navedena u točki 2.3. Uputa za prijavitelje i/ili za odgovarajuća kaznena djela prema </w:t>
            </w:r>
            <w:r w:rsidR="00E91413" w:rsidRPr="00CD4F2D">
              <w:rPr>
                <w:rFonts w:ascii="Times New Roman" w:hAnsi="Times New Roman" w:cs="Times New Roman"/>
                <w:sz w:val="24"/>
                <w:szCs w:val="24"/>
              </w:rPr>
              <w:t xml:space="preserve">propisima države sjedišta ili države čiji je državljanin osoba ovlaštena po </w:t>
            </w:r>
            <w:r w:rsidR="00E91413" w:rsidRPr="00CD4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zakonu za njihovo zastupanje</w:t>
            </w:r>
            <w:r w:rsidR="00D9441F" w:rsidRPr="00CD4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D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9441F" w:rsidRPr="00CD4F2D">
              <w:rPr>
                <w:rFonts w:ascii="Times New Roman" w:hAnsi="Times New Roman" w:cs="Times New Roman"/>
                <w:i/>
                <w:sz w:val="24"/>
                <w:szCs w:val="24"/>
              </w:rPr>
              <w:t>do</w:t>
            </w:r>
            <w:r w:rsidR="008D6D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kazuje se Izjavom prijavitelja  - </w:t>
            </w:r>
            <w:r w:rsidR="00D9441F" w:rsidRPr="00CD4F2D">
              <w:rPr>
                <w:rFonts w:ascii="Times New Roman" w:hAnsi="Times New Roman" w:cs="Times New Roman"/>
                <w:i/>
                <w:sz w:val="24"/>
                <w:szCs w:val="24"/>
              </w:rPr>
              <w:t>Obrazac 3)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F3" w:rsidRPr="00785067" w:rsidRDefault="00A90EF3" w:rsidP="00A90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F3" w:rsidRPr="00785067" w:rsidRDefault="00A90EF3" w:rsidP="00A90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C5" w:rsidRPr="00785067" w:rsidTr="006928A7">
        <w:trPr>
          <w:trHeight w:val="149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C5" w:rsidRPr="00785067" w:rsidRDefault="006142C5" w:rsidP="00CD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D4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50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C5" w:rsidRPr="00CD4F2D" w:rsidRDefault="006142C5" w:rsidP="00650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2D">
              <w:rPr>
                <w:rFonts w:ascii="Times New Roman" w:hAnsi="Times New Roman" w:cs="Times New Roman"/>
                <w:sz w:val="24"/>
                <w:szCs w:val="24"/>
              </w:rPr>
              <w:t xml:space="preserve">Prijavitelju nije utvrđeno teško kršenje Ugovora zbog neispunjavanja obveza </w:t>
            </w:r>
            <w:r w:rsidR="00650E89" w:rsidRPr="00CD4F2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D4F2D">
              <w:rPr>
                <w:rFonts w:ascii="Times New Roman" w:hAnsi="Times New Roman" w:cs="Times New Roman"/>
                <w:sz w:val="24"/>
                <w:szCs w:val="24"/>
              </w:rPr>
              <w:t xml:space="preserve"> koji je </w:t>
            </w:r>
            <w:r w:rsidR="00650E89" w:rsidRPr="00CD4F2D">
              <w:rPr>
                <w:rFonts w:ascii="Times New Roman" w:hAnsi="Times New Roman" w:cs="Times New Roman"/>
                <w:sz w:val="24"/>
                <w:szCs w:val="24"/>
              </w:rPr>
              <w:t xml:space="preserve">bio potpisan u sklopu nekog drugog postupka dodjele bespovratnih sredstava i bio je (su)financiran sredstvima Unije </w:t>
            </w:r>
            <w:r w:rsidRPr="00CD4F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D4F2D">
              <w:rPr>
                <w:rFonts w:ascii="Times New Roman" w:hAnsi="Times New Roman" w:cs="Times New Roman"/>
                <w:i/>
                <w:sz w:val="24"/>
                <w:szCs w:val="24"/>
              </w:rPr>
              <w:t>dokazuje se Izjavom prijavitelja - Obrazac 3</w:t>
            </w:r>
            <w:r w:rsidRPr="00CD4F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C5" w:rsidRPr="00785067" w:rsidRDefault="006142C5" w:rsidP="0069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C5" w:rsidRPr="00785067" w:rsidRDefault="006142C5" w:rsidP="0069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01A" w:rsidRPr="00785067" w:rsidTr="00B94A9C">
        <w:trPr>
          <w:trHeight w:val="95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A" w:rsidRPr="00785067" w:rsidRDefault="00CD4F2D" w:rsidP="0069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A" w:rsidRPr="008E02F7" w:rsidRDefault="006D001A" w:rsidP="008D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2F7">
              <w:rPr>
                <w:rFonts w:ascii="Times New Roman" w:hAnsi="Times New Roman" w:cs="Times New Roman"/>
                <w:sz w:val="24"/>
                <w:szCs w:val="24"/>
              </w:rPr>
              <w:t>Prijavitelj i/ili osoba ovlaštena po zakonu za zastupanje nije proglašen krivim zbog teškog profesionalnog propusta</w:t>
            </w:r>
            <w:r w:rsidR="008D6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D97" w:rsidRPr="008D6D9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E02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dokazuje se Izjavom prijavitelja </w:t>
            </w:r>
            <w:r w:rsidR="008D6D9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8E02F7">
              <w:rPr>
                <w:rFonts w:ascii="Times New Roman" w:hAnsi="Times New Roman" w:cs="Times New Roman"/>
                <w:i/>
                <w:sz w:val="24"/>
                <w:szCs w:val="24"/>
              </w:rPr>
              <w:t>Obrazac 3);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A" w:rsidRPr="00785067" w:rsidRDefault="006D001A" w:rsidP="0069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1A" w:rsidRPr="00785067" w:rsidRDefault="006D001A" w:rsidP="0069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F9A" w:rsidRPr="00785067" w:rsidTr="00B94A9C">
        <w:trPr>
          <w:trHeight w:val="100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9A" w:rsidRPr="001C7267" w:rsidRDefault="00CD4F2D" w:rsidP="00692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26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9A" w:rsidRPr="008E02F7" w:rsidRDefault="005E6F9A" w:rsidP="008D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267">
              <w:rPr>
                <w:rFonts w:ascii="Times New Roman" w:hAnsi="Times New Roman" w:cs="Times New Roman"/>
                <w:sz w:val="24"/>
                <w:szCs w:val="24"/>
              </w:rPr>
              <w:t>Prijavitelj nije iz proračuna Unije primio bespovratna sredstva ko</w:t>
            </w:r>
            <w:r w:rsidR="008D6D97">
              <w:rPr>
                <w:rFonts w:ascii="Times New Roman" w:hAnsi="Times New Roman" w:cs="Times New Roman"/>
                <w:sz w:val="24"/>
                <w:szCs w:val="24"/>
              </w:rPr>
              <w:t>ja se odnose na isto djelovanje</w:t>
            </w:r>
            <w:r w:rsidRPr="001C7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2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C72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dokazuje se Izjavom prijavitelja </w:t>
            </w:r>
            <w:r w:rsidR="008D6D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1C7267">
              <w:rPr>
                <w:rFonts w:ascii="Times New Roman" w:hAnsi="Times New Roman" w:cs="Times New Roman"/>
                <w:i/>
                <w:sz w:val="24"/>
                <w:szCs w:val="24"/>
              </w:rPr>
              <w:t>Obrazac 3)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9A" w:rsidRPr="00785067" w:rsidRDefault="005E6F9A" w:rsidP="0069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9A" w:rsidRPr="00785067" w:rsidRDefault="005E6F9A" w:rsidP="00692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5E2" w:rsidRPr="00785067" w:rsidTr="00D25E91">
        <w:trPr>
          <w:trHeight w:val="99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E2" w:rsidRPr="00785067" w:rsidRDefault="000A35E2" w:rsidP="0045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67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E2" w:rsidRPr="00CD4F2D" w:rsidRDefault="000A35E2" w:rsidP="0045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2D">
              <w:rPr>
                <w:rFonts w:ascii="Times New Roman" w:hAnsi="Times New Roman" w:cs="Times New Roman"/>
                <w:sz w:val="24"/>
                <w:szCs w:val="24"/>
              </w:rPr>
              <w:t>Prijavitelj nije u sukobu interesa u predmetnom postupku dodjele bespo</w:t>
            </w:r>
            <w:r w:rsidR="00B71232">
              <w:rPr>
                <w:rFonts w:ascii="Times New Roman" w:hAnsi="Times New Roman" w:cs="Times New Roman"/>
                <w:sz w:val="24"/>
                <w:szCs w:val="24"/>
              </w:rPr>
              <w:t xml:space="preserve">vratnih sredstava </w:t>
            </w:r>
            <w:r w:rsidR="00B71232" w:rsidRPr="00B712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(dokazuje se </w:t>
            </w:r>
            <w:r w:rsidRPr="00B71232">
              <w:rPr>
                <w:rFonts w:ascii="Times New Roman" w:hAnsi="Times New Roman" w:cs="Times New Roman"/>
                <w:i/>
                <w:sz w:val="24"/>
                <w:szCs w:val="24"/>
              </w:rPr>
              <w:t>Izjavom prijavitelja - Obrazac 3)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E2" w:rsidRPr="00785067" w:rsidRDefault="000A35E2" w:rsidP="00456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E2" w:rsidRPr="00785067" w:rsidRDefault="000A35E2" w:rsidP="00456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5E2" w:rsidRPr="00785067" w:rsidTr="00B94A9C">
        <w:trPr>
          <w:trHeight w:val="95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E2" w:rsidRPr="00785067" w:rsidRDefault="00CD4F2D" w:rsidP="0061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0A35E2" w:rsidRPr="007850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E2" w:rsidRPr="00CD4F2D" w:rsidRDefault="000A35E2" w:rsidP="0061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2D">
              <w:rPr>
                <w:rFonts w:ascii="Times New Roman" w:hAnsi="Times New Roman" w:cs="Times New Roman"/>
                <w:sz w:val="24"/>
                <w:szCs w:val="24"/>
              </w:rPr>
              <w:t>Prijavitelj se ne nalazi u situaciji da ne udovoljava obvezama u skladu s odobrenom obročnom otplatom duga (</w:t>
            </w:r>
            <w:r w:rsidRPr="00CD4F2D">
              <w:rPr>
                <w:rFonts w:ascii="Times New Roman" w:hAnsi="Times New Roman" w:cs="Times New Roman"/>
                <w:i/>
                <w:sz w:val="24"/>
                <w:szCs w:val="24"/>
              </w:rPr>
              <w:t>dokazuje se Izjavom prijavitelja - Obrazac 3)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E2" w:rsidRPr="00785067" w:rsidRDefault="000A35E2" w:rsidP="0061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E2" w:rsidRPr="00785067" w:rsidRDefault="000A35E2" w:rsidP="00615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5E2" w:rsidRPr="00785067" w:rsidTr="00B94A9C">
        <w:trPr>
          <w:trHeight w:val="64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E2" w:rsidRPr="00785067" w:rsidRDefault="000A35E2" w:rsidP="00AA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67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E2" w:rsidRPr="00CD4F2D" w:rsidRDefault="000A35E2" w:rsidP="00AA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2D">
              <w:rPr>
                <w:rFonts w:ascii="Times New Roman" w:hAnsi="Times New Roman" w:cs="Times New Roman"/>
                <w:sz w:val="24"/>
                <w:szCs w:val="24"/>
              </w:rPr>
              <w:t xml:space="preserve">Prijavitelj nije u postupku prisilnog povrata sredstava </w:t>
            </w:r>
            <w:r w:rsidRPr="00B71232">
              <w:rPr>
                <w:rFonts w:ascii="Times New Roman" w:hAnsi="Times New Roman" w:cs="Times New Roman"/>
                <w:i/>
                <w:sz w:val="24"/>
                <w:szCs w:val="24"/>
              </w:rPr>
              <w:t>(dokazuje se Izjavom prijavitelja - Obrazac 3)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E2" w:rsidRPr="00785067" w:rsidRDefault="000A35E2" w:rsidP="00AA0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E2" w:rsidRPr="00785067" w:rsidRDefault="000A35E2" w:rsidP="00AA0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D4" w:rsidRPr="00785067" w:rsidTr="00D25E91">
        <w:trPr>
          <w:trHeight w:val="136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4" w:rsidRPr="00785067" w:rsidRDefault="003B3AD4" w:rsidP="00CD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D4F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850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4" w:rsidRPr="00CD4F2D" w:rsidRDefault="003B3AD4" w:rsidP="0054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2D">
              <w:rPr>
                <w:rFonts w:ascii="Times New Roman" w:hAnsi="Times New Roman" w:cs="Times New Roman"/>
                <w:sz w:val="24"/>
                <w:szCs w:val="24"/>
              </w:rPr>
              <w:t xml:space="preserve">Prijavitelj se ne nalazi u situaciji da nije izvršio povrat sredstava prema odluci nadležnog tijela, kako je navedeno u Obrascu izjave </w:t>
            </w:r>
            <w:r w:rsidR="00B71232">
              <w:rPr>
                <w:rFonts w:ascii="Times New Roman" w:hAnsi="Times New Roman" w:cs="Times New Roman"/>
                <w:sz w:val="24"/>
                <w:szCs w:val="24"/>
              </w:rPr>
              <w:t xml:space="preserve">prijavitelja </w:t>
            </w:r>
            <w:r w:rsidR="00B71232" w:rsidRPr="00B712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(dokazuje se </w:t>
            </w:r>
            <w:r w:rsidRPr="00B71232">
              <w:rPr>
                <w:rFonts w:ascii="Times New Roman" w:hAnsi="Times New Roman" w:cs="Times New Roman"/>
                <w:i/>
                <w:sz w:val="24"/>
                <w:szCs w:val="24"/>
              </w:rPr>
              <w:t>Izjavom prijavitelja - Obrazac 3)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4" w:rsidRPr="00785067" w:rsidRDefault="003B3AD4" w:rsidP="0054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4" w:rsidRPr="00785067" w:rsidRDefault="003B3AD4" w:rsidP="00541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AD4" w:rsidRPr="00785067" w:rsidTr="00CB7A49">
        <w:trPr>
          <w:trHeight w:val="149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4" w:rsidRPr="00785067" w:rsidRDefault="003B3AD4" w:rsidP="00CD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D4F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4" w:rsidRPr="00CD4F2D" w:rsidRDefault="003B3AD4" w:rsidP="00CB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2D">
              <w:rPr>
                <w:rFonts w:ascii="Times New Roman" w:hAnsi="Times New Roman" w:cs="Times New Roman"/>
                <w:sz w:val="24"/>
                <w:szCs w:val="24"/>
              </w:rPr>
              <w:t xml:space="preserve">Prijavitelj je izvršio isplate plaća zaposlenicima, plaćanje doprinosa za financiranje obveznih osiguranja (osobito zdravstveno ili mirovinsko) ili plaćanje poreza u skladu s propisima RH kao države u kojoj je osnovan Prijavitelj i u kojoj će se provoditi Ugovor o dodjeli bespovratnih sredstava. U pogledu ove točke, smatra se prihvatljivim da Prijavitelj/Korisnik nije udovoljio spomenutim uvjetima, ako mu, sukladno posebnom propisu, plaćanje tih obveza nije dopušteno ili mu je odobrena odgoda plaćanja </w:t>
            </w:r>
            <w:r w:rsidRPr="00CD4F2D">
              <w:rPr>
                <w:rFonts w:ascii="Times New Roman" w:hAnsi="Times New Roman" w:cs="Times New Roman"/>
                <w:i/>
                <w:sz w:val="24"/>
                <w:szCs w:val="24"/>
              </w:rPr>
              <w:t>(dokazuje se Izjavom prijavitelja - Obrazac 3)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4" w:rsidRPr="00785067" w:rsidRDefault="003B3AD4" w:rsidP="00CB7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D4" w:rsidRPr="00785067" w:rsidRDefault="003B3AD4" w:rsidP="00CB7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724" w:rsidRPr="00785067" w:rsidTr="00B94A9C">
        <w:trPr>
          <w:trHeight w:val="99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24" w:rsidRPr="00785067" w:rsidRDefault="00CD4F2D" w:rsidP="005C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24" w:rsidRPr="00CD4F2D" w:rsidRDefault="00647724" w:rsidP="005C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2D">
              <w:rPr>
                <w:rFonts w:ascii="Times New Roman" w:hAnsi="Times New Roman" w:cs="Times New Roman"/>
                <w:sz w:val="24"/>
                <w:szCs w:val="24"/>
              </w:rPr>
              <w:t>Prijavitelj nije dostavio lažne</w:t>
            </w:r>
            <w:r w:rsidR="00B71232">
              <w:rPr>
                <w:rFonts w:ascii="Times New Roman" w:hAnsi="Times New Roman" w:cs="Times New Roman"/>
                <w:sz w:val="24"/>
                <w:szCs w:val="24"/>
              </w:rPr>
              <w:t xml:space="preserve"> podatke pri dostavi dokumenata</w:t>
            </w:r>
            <w:r w:rsidRPr="00CD4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2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D4F2D">
              <w:rPr>
                <w:rFonts w:ascii="Times New Roman" w:hAnsi="Times New Roman" w:cs="Times New Roman"/>
                <w:i/>
                <w:sz w:val="24"/>
                <w:szCs w:val="24"/>
              </w:rPr>
              <w:t>do</w:t>
            </w:r>
            <w:r w:rsidR="00B712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kazuje se Izjavom prijavitelja - </w:t>
            </w:r>
            <w:r w:rsidRPr="00CD4F2D">
              <w:rPr>
                <w:rFonts w:ascii="Times New Roman" w:hAnsi="Times New Roman" w:cs="Times New Roman"/>
                <w:i/>
                <w:sz w:val="24"/>
                <w:szCs w:val="24"/>
              </w:rPr>
              <w:t>Obrazac 3)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24" w:rsidRPr="00785067" w:rsidRDefault="00647724" w:rsidP="005C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24" w:rsidRPr="00785067" w:rsidRDefault="00647724" w:rsidP="005C5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F1" w:rsidRPr="00785067" w:rsidTr="00CD369B">
        <w:trPr>
          <w:trHeight w:val="149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1" w:rsidRPr="00785067" w:rsidRDefault="00E864F1" w:rsidP="00CD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6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CD4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1" w:rsidRPr="00CD4F2D" w:rsidRDefault="00E864F1" w:rsidP="002F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2D">
              <w:rPr>
                <w:rFonts w:ascii="Times New Roman" w:hAnsi="Times New Roman" w:cs="Times New Roman"/>
                <w:sz w:val="24"/>
                <w:szCs w:val="24"/>
              </w:rPr>
              <w:t xml:space="preserve">Prijavitelj u trenutku podnošenja projektnog prijedloga ne ispunjava zakonsku obvezu u vezi s uspostavom minimalnog broja potrebnih </w:t>
            </w:r>
            <w:proofErr w:type="spellStart"/>
            <w:r w:rsidRPr="00CD4F2D">
              <w:rPr>
                <w:rFonts w:ascii="Times New Roman" w:hAnsi="Times New Roman" w:cs="Times New Roman"/>
                <w:sz w:val="24"/>
                <w:szCs w:val="24"/>
              </w:rPr>
              <w:t>reciklažnih</w:t>
            </w:r>
            <w:proofErr w:type="spellEnd"/>
            <w:r w:rsidRPr="00CD4F2D">
              <w:rPr>
                <w:rFonts w:ascii="Times New Roman" w:hAnsi="Times New Roman" w:cs="Times New Roman"/>
                <w:sz w:val="24"/>
                <w:szCs w:val="24"/>
              </w:rPr>
              <w:t xml:space="preserve"> dvorišta u odnosu na broj stanovnika, sukladno članku 84, stavku 2. točke 1., 2 i 3. i stavku 3. ZGO-a. U ispunjavanje zakonske obveze uračunavat će se i </w:t>
            </w:r>
            <w:proofErr w:type="spellStart"/>
            <w:r w:rsidRPr="00CD4F2D">
              <w:rPr>
                <w:rFonts w:ascii="Times New Roman" w:hAnsi="Times New Roman" w:cs="Times New Roman"/>
                <w:sz w:val="24"/>
                <w:szCs w:val="24"/>
              </w:rPr>
              <w:t>reciklažna</w:t>
            </w:r>
            <w:proofErr w:type="spellEnd"/>
            <w:r w:rsidRPr="00CD4F2D">
              <w:rPr>
                <w:rFonts w:ascii="Times New Roman" w:hAnsi="Times New Roman" w:cs="Times New Roman"/>
                <w:sz w:val="24"/>
                <w:szCs w:val="24"/>
              </w:rPr>
              <w:t xml:space="preserve"> dvorišta za koja su odobrena bespovratna sredstva u sklopu prethodna dva poziva za građenje RD (KK.06.3.1.03 i KK.06.3.1.16) – </w:t>
            </w:r>
            <w:r w:rsidR="00AD5EC9" w:rsidRPr="00AD5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kriterij se ne odnosi na obalne i otočne JLS </w:t>
            </w:r>
            <w:r w:rsidRPr="00CD4F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D4F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dokazuje se uvidom u Evidenciju prijevoznika otpada, posrednika otpadom, trgovaca otpadom i </w:t>
            </w:r>
            <w:proofErr w:type="spellStart"/>
            <w:r w:rsidRPr="00CD4F2D">
              <w:rPr>
                <w:rFonts w:ascii="Times New Roman" w:hAnsi="Times New Roman" w:cs="Times New Roman"/>
                <w:i/>
                <w:sz w:val="24"/>
                <w:szCs w:val="24"/>
              </w:rPr>
              <w:t>reciklažnih</w:t>
            </w:r>
            <w:proofErr w:type="spellEnd"/>
            <w:r w:rsidRPr="00CD4F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dvorišta</w:t>
            </w:r>
            <w:r w:rsidR="00475806" w:rsidRPr="00CD4F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(dalje u tekstu: Evidencija RD)</w:t>
            </w:r>
            <w:r w:rsidRPr="00CD4F2D">
              <w:rPr>
                <w:rFonts w:ascii="Times New Roman" w:hAnsi="Times New Roman" w:cs="Times New Roman"/>
                <w:i/>
                <w:sz w:val="24"/>
                <w:szCs w:val="24"/>
              </w:rPr>
              <w:t>, Popis stanovništva, kućanstava i stanova 2021. godine, te Popis operacija i korisnika Ugovora o dodjeli bespovratnih sredstava za pozive KK.06.3.1.03 i KK.06.3.1.16)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1" w:rsidRPr="00785067" w:rsidRDefault="00E864F1" w:rsidP="00CD3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1" w:rsidRPr="00785067" w:rsidRDefault="00E864F1" w:rsidP="00CD3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4F1" w:rsidRPr="00785067" w:rsidTr="00DD6AB8">
        <w:trPr>
          <w:trHeight w:val="149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1" w:rsidRPr="00785067" w:rsidRDefault="00CD4F2D" w:rsidP="00DD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1" w:rsidRPr="00CD4F2D" w:rsidRDefault="00E864F1" w:rsidP="00475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2D">
              <w:rPr>
                <w:rFonts w:ascii="Times New Roman" w:hAnsi="Times New Roman" w:cs="Times New Roman"/>
                <w:sz w:val="24"/>
                <w:szCs w:val="24"/>
              </w:rPr>
              <w:t>Prijavitelj ne potražuje sredstva za nabavu mobilnog RD sukladno članku 84. stavku 2 točki 4. za naselje u kojem se već nalazi RD – građevina ili koje je u obuhvatu rada postojećeg mobilnog RD prema podacima iz Evidencije</w:t>
            </w:r>
            <w:r w:rsidR="00475806" w:rsidRPr="00CD4F2D">
              <w:rPr>
                <w:rFonts w:ascii="Times New Roman" w:hAnsi="Times New Roman" w:cs="Times New Roman"/>
                <w:sz w:val="24"/>
                <w:szCs w:val="24"/>
              </w:rPr>
              <w:t xml:space="preserve"> RD</w:t>
            </w:r>
            <w:r w:rsidRPr="00CD4F2D">
              <w:rPr>
                <w:rFonts w:ascii="Times New Roman" w:hAnsi="Times New Roman" w:cs="Times New Roman"/>
                <w:sz w:val="24"/>
                <w:szCs w:val="24"/>
              </w:rPr>
              <w:t>. U ispunjavanje zakonske obveze uračunavat će se, ako je primjenjivo, i RD za koja su odobrena bespovratna sredstva u sklopu dva prethodna Poziva za uspostavu R</w:t>
            </w:r>
            <w:r w:rsidR="00B71232">
              <w:rPr>
                <w:rFonts w:ascii="Times New Roman" w:hAnsi="Times New Roman" w:cs="Times New Roman"/>
                <w:sz w:val="24"/>
                <w:szCs w:val="24"/>
              </w:rPr>
              <w:t>D (KK.06.3.1.03 i KK.06.3.1.16)</w:t>
            </w:r>
            <w:r w:rsidRPr="00CD4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806" w:rsidRPr="007C447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D4F2D">
              <w:rPr>
                <w:rFonts w:ascii="Times New Roman" w:hAnsi="Times New Roman" w:cs="Times New Roman"/>
                <w:i/>
                <w:sz w:val="24"/>
                <w:szCs w:val="24"/>
              </w:rPr>
              <w:t>dokazuje se uvidom u Evidenciju RD, Popis stanovništva, kućanstava i stanova 2021. godine, Popis operacija i korisnika Ugovora o dodjeli bespovratnih sredstava za pozive KK.06.3.1.03 i KK.06.3</w:t>
            </w:r>
            <w:r w:rsidR="007C44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.1.16 te Izjavom prijavitelja - </w:t>
            </w:r>
            <w:r w:rsidRPr="00CD4F2D">
              <w:rPr>
                <w:rFonts w:ascii="Times New Roman" w:hAnsi="Times New Roman" w:cs="Times New Roman"/>
                <w:i/>
                <w:sz w:val="24"/>
                <w:szCs w:val="24"/>
              </w:rPr>
              <w:t>Obrazac 3)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1" w:rsidRPr="00785067" w:rsidRDefault="00E864F1" w:rsidP="00DD6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F1" w:rsidRPr="00785067" w:rsidRDefault="00E864F1" w:rsidP="00DD6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611" w:rsidRPr="00785067" w:rsidTr="00E4156A">
        <w:trPr>
          <w:trHeight w:val="149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11" w:rsidRPr="00785067" w:rsidRDefault="00CD4F2D" w:rsidP="00E41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11" w:rsidRPr="00CD4F2D" w:rsidRDefault="00190611" w:rsidP="007C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2D">
              <w:rPr>
                <w:rFonts w:ascii="Times New Roman" w:hAnsi="Times New Roman" w:cs="Times New Roman"/>
                <w:sz w:val="24"/>
                <w:szCs w:val="24"/>
              </w:rPr>
              <w:t xml:space="preserve">Prijavitelj je dostavio dokaz da ima odabranog davatelja usluge </w:t>
            </w:r>
            <w:r w:rsidR="00086F8F" w:rsidRPr="00CD4F2D">
              <w:rPr>
                <w:rFonts w:ascii="Times New Roman" w:hAnsi="Times New Roman" w:cs="Times New Roman"/>
                <w:sz w:val="24"/>
                <w:szCs w:val="24"/>
              </w:rPr>
              <w:t>sakupljanja komunalnog otpada u skladu s člankom 68. ZGO-a koji će osigurati obavljanje poslova RD</w:t>
            </w:r>
            <w:r w:rsidR="007C4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47F" w:rsidRPr="007C447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D6D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dokazuje se uvidom u Odluku o dodjeli obavljanja javne usluge </w:t>
            </w:r>
            <w:r w:rsidR="00FF3027" w:rsidRPr="008D6D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sakupljanja komunalnog otpada </w:t>
            </w:r>
            <w:r w:rsidRPr="008D6D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ili Odluku </w:t>
            </w:r>
            <w:r w:rsidR="00086F8F" w:rsidRPr="008D6D97">
              <w:rPr>
                <w:rFonts w:ascii="Times New Roman" w:hAnsi="Times New Roman" w:cs="Times New Roman"/>
                <w:i/>
                <w:sz w:val="24"/>
                <w:szCs w:val="24"/>
              </w:rPr>
              <w:t>davanju koncesije za obavljanje javne usluge sakupljanja komunalnog otpada</w:t>
            </w:r>
            <w:r w:rsidR="007C44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11" w:rsidRPr="00785067" w:rsidRDefault="00190611" w:rsidP="00E4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11" w:rsidRPr="00785067" w:rsidRDefault="00190611" w:rsidP="00E4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7CC" w:rsidRPr="00785067" w:rsidTr="005D7CB2">
        <w:trPr>
          <w:trHeight w:val="149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CC" w:rsidRPr="00785067" w:rsidRDefault="00CD4F2D" w:rsidP="005D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2.15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CC" w:rsidRPr="00CD4F2D" w:rsidRDefault="00D947CC" w:rsidP="007C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F2D">
              <w:rPr>
                <w:rFonts w:ascii="Times New Roman" w:hAnsi="Times New Roman" w:cs="Times New Roman"/>
                <w:sz w:val="24"/>
                <w:szCs w:val="24"/>
              </w:rPr>
              <w:t>Prijavitelj nije sklopio Sporazum o udruživanju iz točke 2.2. Uputa za prijavitelje, a da je utvrđeno da jedna ili više potpisnica toga Sporazuma u trenutku podnošenja projektnog prijedloga ispunjava zakonsku obvezu o uspostavi minimalnog broja RD iz članka 84. stavka 2., točke 1. i 4. ZGO-a</w:t>
            </w:r>
            <w:r w:rsidR="002F7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4F2D">
              <w:rPr>
                <w:rFonts w:ascii="Times New Roman" w:hAnsi="Times New Roman" w:cs="Times New Roman"/>
                <w:sz w:val="24"/>
                <w:szCs w:val="24"/>
              </w:rPr>
              <w:t xml:space="preserve"> U ispunjavanje zakonske obveze uračunavat će se, ako je primjenjivo, i RD za koje su odobrena sredstva u sklopu prethodna dva Poziva za uspostavu RD (KK.06.3.1.03 i KK.06.3.1.16) </w:t>
            </w:r>
            <w:r w:rsidR="007C44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D4F2D">
              <w:rPr>
                <w:rFonts w:ascii="Times New Roman" w:hAnsi="Times New Roman" w:cs="Times New Roman"/>
                <w:i/>
                <w:sz w:val="24"/>
                <w:szCs w:val="24"/>
              </w:rPr>
              <w:t>dokazuje se uvidom u Evidenciju RD, Popis stanovništva, kućanstava i stanova 2021. godine, Popis operacija i korisnika Ugovora o dodjeli</w:t>
            </w:r>
            <w:r w:rsidR="006C2CD6" w:rsidRPr="00CD4F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bespovratnih sredstava za pozive KK.06.3.1.03 i KK.06.</w:t>
            </w:r>
            <w:r w:rsidR="007C44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3.1.16 te Izjavom prijavitelja - </w:t>
            </w:r>
            <w:r w:rsidR="006C2CD6" w:rsidRPr="00CD4F2D">
              <w:rPr>
                <w:rFonts w:ascii="Times New Roman" w:hAnsi="Times New Roman" w:cs="Times New Roman"/>
                <w:i/>
                <w:sz w:val="24"/>
                <w:szCs w:val="24"/>
              </w:rPr>
              <w:t>Obrazac 3)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CC" w:rsidRPr="00785067" w:rsidRDefault="00D947CC" w:rsidP="005D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CC" w:rsidRPr="00785067" w:rsidRDefault="00D947CC" w:rsidP="005D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319" w:rsidRPr="00785067" w:rsidTr="00F07574">
        <w:trPr>
          <w:jc w:val="center"/>
        </w:trPr>
        <w:tc>
          <w:tcPr>
            <w:tcW w:w="9698" w:type="dxa"/>
            <w:gridSpan w:val="5"/>
          </w:tcPr>
          <w:p w:rsidR="009F0319" w:rsidRPr="00785067" w:rsidRDefault="009F0319" w:rsidP="00F07574">
            <w:pPr>
              <w:tabs>
                <w:tab w:val="left" w:pos="6047"/>
              </w:tabs>
              <w:spacing w:after="0" w:line="240" w:lineRule="auto"/>
              <w:jc w:val="both"/>
              <w:outlineLvl w:val="1"/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5067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Odluka</w:t>
            </w:r>
            <w:r w:rsidRPr="00785067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785067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osobe odgovorne za obavljanje</w:t>
            </w:r>
            <w:r w:rsidRPr="00785067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785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Pr="0078506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prihvatljivosti prijavitelja i, ako je primjenjivo, partnera DATUM </w:t>
            </w:r>
            <w:r w:rsidRPr="00785067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&lt;navedeni dio </w:t>
            </w:r>
            <w:r w:rsidRPr="007850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unosi se onoliko puta koliko se od prijavitelja traže pojašnjenja, sve dok se ne donese odluka o tome udovoljava li projektni prijedlog ili ne </w:t>
            </w:r>
            <w:r w:rsidRPr="00785067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KP u</w:t>
            </w:r>
            <w:r w:rsidRPr="00785067">
              <w:rPr>
                <w:rStyle w:val="longtext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 </w:t>
            </w:r>
            <w:r w:rsidRPr="00785067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provjeri </w:t>
            </w:r>
            <w:r w:rsidRPr="00785067">
              <w:rPr>
                <w:rStyle w:val="hps"/>
                <w:rFonts w:ascii="Times New Roman" w:hAnsi="Times New Roman" w:cs="Times New Roman"/>
                <w:i/>
                <w:sz w:val="24"/>
                <w:szCs w:val="24"/>
              </w:rPr>
              <w:t xml:space="preserve">prihvatljivosti prijavitelja i, ako je primjenjivo, partnera </w:t>
            </w:r>
            <w:r w:rsidRPr="00785067">
              <w:rPr>
                <w:rFonts w:ascii="Times New Roman" w:hAnsi="Times New Roman" w:cs="Times New Roman"/>
                <w:i/>
                <w:sz w:val="24"/>
                <w:szCs w:val="24"/>
              </w:rPr>
              <w:t>&gt;</w:t>
            </w:r>
            <w:r w:rsidRPr="00785067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  <w:p w:rsidR="009F0319" w:rsidRPr="00785067" w:rsidRDefault="009F0319" w:rsidP="00F07574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506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8506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85067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 Nije jasno udovoljava</w:t>
            </w:r>
            <w:r w:rsidRPr="00785067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li p</w:t>
            </w:r>
            <w:r w:rsidRPr="00785067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rojektni prijedlog</w:t>
            </w:r>
            <w:r w:rsidRPr="00785067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785067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svim</w:t>
            </w:r>
            <w:r w:rsidRPr="00785067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785067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zahtjevima </w:t>
            </w:r>
            <w:r w:rsidRPr="00785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Pr="0078506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prihvatljivosti prijavitelja i, ako je primjenjivo, partnera </w:t>
            </w:r>
            <w:r w:rsidR="002F74F0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i potrebno</w:t>
            </w:r>
            <w:r w:rsidRPr="00785067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je podnijeti </w:t>
            </w:r>
            <w:r w:rsidRPr="00785067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dodatne podatke/pojašnjenja: (upisati koji podaci/pojašnjenja se traže i</w:t>
            </w:r>
            <w:r w:rsidRPr="00785067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785067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rok</w:t>
            </w:r>
            <w:r w:rsidRPr="00785067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785067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 njihovo podnošenje)</w:t>
            </w:r>
          </w:p>
          <w:p w:rsidR="009F0319" w:rsidRPr="00785067" w:rsidRDefault="009F0319" w:rsidP="00F07574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9F0319" w:rsidRPr="00785067" w:rsidRDefault="009F0319" w:rsidP="00F07574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5067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Obrazloženje: </w:t>
            </w:r>
          </w:p>
          <w:p w:rsidR="009F0319" w:rsidRPr="00785067" w:rsidRDefault="009F0319" w:rsidP="00F07574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9F0319" w:rsidRPr="00785067" w:rsidRDefault="009F0319" w:rsidP="00F07574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5067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Zaključak: </w:t>
            </w:r>
          </w:p>
          <w:p w:rsidR="009F0319" w:rsidRPr="00785067" w:rsidRDefault="009F0319" w:rsidP="00F07574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5067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</w:t>
            </w:r>
            <w:r w:rsidRPr="00785067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785067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 udovoljava svim</w:t>
            </w:r>
            <w:r w:rsidRPr="00785067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785067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zahtjevima</w:t>
            </w:r>
            <w:r w:rsidRPr="00785067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785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Pr="0078506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prijavitelja i, ako je primjenjivo, partnera</w:t>
            </w:r>
            <w:r w:rsidRPr="00785067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:rsidR="009F0319" w:rsidRPr="00785067" w:rsidRDefault="009F0319" w:rsidP="00F07574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78506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85067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</w:t>
            </w:r>
            <w:r w:rsidRPr="00785067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785067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</w:t>
            </w:r>
            <w:r w:rsidRPr="00785067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785067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ne udovoljava</w:t>
            </w:r>
            <w:r w:rsidRPr="00785067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785067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zahtjevima </w:t>
            </w:r>
            <w:r w:rsidRPr="00785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Pr="0078506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prijavitelja i, ako je primjenjivo, partnera i isključuje se iz daljnjeg postupka dodjele</w:t>
            </w:r>
          </w:p>
          <w:p w:rsidR="009F0319" w:rsidRPr="00785067" w:rsidRDefault="009F0319" w:rsidP="00F07574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8506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85067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Datum</w:t>
            </w:r>
            <w:r w:rsidRPr="00785067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785067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provjere </w:t>
            </w:r>
            <w:r w:rsidRPr="0078506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prijavitelja i, ako je primjenjivo, partnera</w:t>
            </w:r>
            <w:r w:rsidRPr="00785067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  <w:p w:rsidR="009F0319" w:rsidRPr="00785067" w:rsidRDefault="009F0319" w:rsidP="00F0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0319" w:rsidRPr="00785067" w:rsidRDefault="009F0319" w:rsidP="009F0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319" w:rsidRPr="00785067" w:rsidRDefault="009F0319" w:rsidP="009F03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F0319" w:rsidRPr="00785067" w:rsidRDefault="009F0319" w:rsidP="009F03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5067">
        <w:rPr>
          <w:rFonts w:ascii="Times New Roman" w:eastAsia="Times New Roman" w:hAnsi="Times New Roman" w:cs="Times New Roman"/>
          <w:i/>
          <w:sz w:val="24"/>
          <w:szCs w:val="24"/>
        </w:rPr>
        <w:t>&lt;Prilagoditi ovisno o tome koja institucija/OOP obavlja ovu aktivnost postupka dodjele&gt;</w:t>
      </w:r>
    </w:p>
    <w:p w:rsidR="009F0319" w:rsidRPr="00785067" w:rsidRDefault="009F0319" w:rsidP="009F03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F0319" w:rsidRPr="00785067" w:rsidRDefault="009F0319" w:rsidP="009F0319">
      <w:pPr>
        <w:spacing w:after="0" w:line="240" w:lineRule="auto"/>
        <w:jc w:val="both"/>
        <w:rPr>
          <w:rStyle w:val="hps"/>
          <w:rFonts w:ascii="Times New Roman" w:hAnsi="Times New Roman" w:cs="Times New Roman"/>
          <w:i/>
          <w:sz w:val="24"/>
          <w:szCs w:val="24"/>
        </w:rPr>
      </w:pPr>
      <w:r w:rsidRPr="00785067">
        <w:rPr>
          <w:rFonts w:ascii="Times New Roman" w:eastAsia="Times New Roman" w:hAnsi="Times New Roman" w:cs="Times New Roman"/>
          <w:i/>
          <w:sz w:val="24"/>
          <w:szCs w:val="24"/>
        </w:rPr>
        <w:t xml:space="preserve">Ime, prezime, funkcija i potpis osobe odgovorne za provjeru </w:t>
      </w:r>
      <w:r w:rsidRPr="00785067">
        <w:rPr>
          <w:rStyle w:val="hps"/>
          <w:rFonts w:ascii="Times New Roman" w:hAnsi="Times New Roman" w:cs="Times New Roman"/>
          <w:i/>
          <w:sz w:val="24"/>
          <w:szCs w:val="24"/>
        </w:rPr>
        <w:t>prihvatljivosti prijavitelja i, ako je primjenjivo, partnera</w:t>
      </w:r>
    </w:p>
    <w:p w:rsidR="009F0319" w:rsidRPr="00785067" w:rsidRDefault="009F0319" w:rsidP="009F03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F0319" w:rsidRPr="00785067" w:rsidRDefault="009F0319" w:rsidP="009F03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5067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…………………………………………………………………</w:t>
      </w:r>
      <w:r w:rsidRPr="00785067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9F0319" w:rsidRPr="00785067" w:rsidRDefault="009F0319" w:rsidP="009F03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5067">
        <w:rPr>
          <w:rFonts w:ascii="Times New Roman" w:eastAsia="Times New Roman" w:hAnsi="Times New Roman" w:cs="Times New Roman"/>
          <w:i/>
          <w:sz w:val="24"/>
          <w:szCs w:val="24"/>
        </w:rPr>
        <w:t>Ime, prezime, funkcija i potpis osobe odgovorne za drugu razinu kontrole</w:t>
      </w:r>
    </w:p>
    <w:p w:rsidR="009F0319" w:rsidRPr="00785067" w:rsidRDefault="009F0319" w:rsidP="009F03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F0319" w:rsidRPr="00785067" w:rsidRDefault="009F0319" w:rsidP="009F0319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785067">
        <w:rPr>
          <w:rFonts w:ascii="Times New Roman" w:eastAsia="Times New Roman" w:hAnsi="Times New Roman" w:cs="Times New Roman"/>
          <w:i/>
        </w:rPr>
        <w:t>…………………………………………………………………</w:t>
      </w:r>
      <w:r w:rsidRPr="00785067">
        <w:rPr>
          <w:rFonts w:ascii="Times New Roman" w:eastAsia="Times New Roman" w:hAnsi="Times New Roman" w:cs="Times New Roman"/>
          <w:i/>
        </w:rPr>
        <w:tab/>
      </w:r>
    </w:p>
    <w:p w:rsidR="00785067" w:rsidRPr="00785067" w:rsidRDefault="00785067">
      <w:pPr>
        <w:rPr>
          <w:rFonts w:ascii="Times New Roman" w:hAnsi="Times New Roman" w:cs="Times New Roman"/>
        </w:rPr>
      </w:pPr>
    </w:p>
    <w:sectPr w:rsidR="00785067" w:rsidRPr="00785067" w:rsidSect="008F771A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319" w:rsidRDefault="009F0319" w:rsidP="009F0319">
      <w:pPr>
        <w:spacing w:after="0" w:line="240" w:lineRule="auto"/>
      </w:pPr>
      <w:r>
        <w:separator/>
      </w:r>
    </w:p>
  </w:endnote>
  <w:endnote w:type="continuationSeparator" w:id="0">
    <w:p w:rsidR="009F0319" w:rsidRDefault="009F0319" w:rsidP="009F0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</w:rPr>
        </w:sdtEndPr>
        <w:sdtContent>
          <w:p w:rsidR="00EC4A16" w:rsidRDefault="009F0319">
            <w:pPr>
              <w:pStyle w:val="Podnoje"/>
              <w:jc w:val="center"/>
            </w:pPr>
            <w:r w:rsidRPr="00812E6D">
              <w:rPr>
                <w:rFonts w:ascii="Times New Roman" w:hAnsi="Times New Roman" w:cs="Times New Roman"/>
                <w:bCs/>
              </w:rPr>
              <w:fldChar w:fldCharType="begin"/>
            </w:r>
            <w:r w:rsidRPr="00812E6D">
              <w:rPr>
                <w:rFonts w:ascii="Times New Roman" w:hAnsi="Times New Roman" w:cs="Times New Roman"/>
                <w:bCs/>
              </w:rPr>
              <w:instrText xml:space="preserve"> PAGE </w:instrText>
            </w:r>
            <w:r w:rsidRPr="00812E6D">
              <w:rPr>
                <w:rFonts w:ascii="Times New Roman" w:hAnsi="Times New Roman" w:cs="Times New Roman"/>
                <w:bCs/>
              </w:rPr>
              <w:fldChar w:fldCharType="separate"/>
            </w:r>
            <w:r w:rsidR="006240EA">
              <w:rPr>
                <w:rFonts w:ascii="Times New Roman" w:hAnsi="Times New Roman" w:cs="Times New Roman"/>
                <w:bCs/>
                <w:noProof/>
              </w:rPr>
              <w:t>4</w:t>
            </w:r>
            <w:r w:rsidRPr="00812E6D">
              <w:rPr>
                <w:rFonts w:ascii="Times New Roman" w:hAnsi="Times New Roman" w:cs="Times New Roman"/>
                <w:bCs/>
              </w:rPr>
              <w:fldChar w:fldCharType="end"/>
            </w:r>
            <w:r w:rsidRPr="00812E6D">
              <w:rPr>
                <w:rFonts w:ascii="Times New Roman" w:hAnsi="Times New Roman" w:cs="Times New Roman"/>
                <w:bCs/>
              </w:rPr>
              <w:t>/</w:t>
            </w:r>
            <w:r w:rsidRPr="00812E6D">
              <w:rPr>
                <w:rFonts w:ascii="Times New Roman" w:hAnsi="Times New Roman" w:cs="Times New Roman"/>
                <w:bCs/>
              </w:rPr>
              <w:fldChar w:fldCharType="begin"/>
            </w:r>
            <w:r w:rsidRPr="00812E6D">
              <w:rPr>
                <w:rFonts w:ascii="Times New Roman" w:hAnsi="Times New Roman" w:cs="Times New Roman"/>
                <w:bCs/>
              </w:rPr>
              <w:instrText xml:space="preserve"> NUMPAGES  </w:instrText>
            </w:r>
            <w:r w:rsidRPr="00812E6D">
              <w:rPr>
                <w:rFonts w:ascii="Times New Roman" w:hAnsi="Times New Roman" w:cs="Times New Roman"/>
                <w:bCs/>
              </w:rPr>
              <w:fldChar w:fldCharType="separate"/>
            </w:r>
            <w:r w:rsidR="006240EA">
              <w:rPr>
                <w:rFonts w:ascii="Times New Roman" w:hAnsi="Times New Roman" w:cs="Times New Roman"/>
                <w:bCs/>
                <w:noProof/>
              </w:rPr>
              <w:t>4</w:t>
            </w:r>
            <w:r w:rsidRPr="00812E6D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:rsidR="00EC4A16" w:rsidRDefault="006240E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319" w:rsidRDefault="009F0319" w:rsidP="009F0319">
      <w:pPr>
        <w:spacing w:after="0" w:line="240" w:lineRule="auto"/>
      </w:pPr>
      <w:r>
        <w:separator/>
      </w:r>
    </w:p>
  </w:footnote>
  <w:footnote w:type="continuationSeparator" w:id="0">
    <w:p w:rsidR="009F0319" w:rsidRDefault="009F0319" w:rsidP="009F0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A91" w:rsidRPr="00FE659B" w:rsidRDefault="009F0319" w:rsidP="009F0319">
    <w:pPr>
      <w:pStyle w:val="Zaglavlje"/>
      <w:tabs>
        <w:tab w:val="clear" w:pos="4536"/>
      </w:tabs>
      <w:rPr>
        <w:rFonts w:ascii="Gill Sans MT" w:hAnsi="Gill Sans MT" w:cs="Times New Roman"/>
        <w:color w:val="B0CB1F"/>
      </w:rPr>
    </w:pPr>
    <w:r w:rsidRPr="00FE659B">
      <w:rPr>
        <w:rFonts w:ascii="Gill Sans MT" w:hAnsi="Gill Sans MT" w:cs="Times New Roman"/>
        <w:color w:val="B0CB1F"/>
      </w:rPr>
      <w:t>PRILOG 2</w:t>
    </w:r>
    <w:r>
      <w:rPr>
        <w:rFonts w:ascii="Gill Sans MT" w:hAnsi="Gill Sans MT" w:cs="Times New Roman"/>
        <w:color w:val="B0CB1F"/>
      </w:rPr>
      <w:t>.2</w:t>
    </w:r>
    <w:r>
      <w:rPr>
        <w:rFonts w:ascii="Gill Sans MT" w:hAnsi="Gill Sans MT" w:cs="Times New Roman"/>
        <w:color w:val="B0CB1F"/>
      </w:rPr>
      <w:tab/>
    </w:r>
  </w:p>
  <w:p w:rsidR="00FA1A91" w:rsidRDefault="006240E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19"/>
    <w:rsid w:val="00086F8F"/>
    <w:rsid w:val="00096C1C"/>
    <w:rsid w:val="000A35E2"/>
    <w:rsid w:val="00105D0F"/>
    <w:rsid w:val="00126625"/>
    <w:rsid w:val="00127044"/>
    <w:rsid w:val="00190611"/>
    <w:rsid w:val="0019533F"/>
    <w:rsid w:val="00195345"/>
    <w:rsid w:val="001B5081"/>
    <w:rsid w:val="001C3D49"/>
    <w:rsid w:val="001C7267"/>
    <w:rsid w:val="002F74F0"/>
    <w:rsid w:val="00346692"/>
    <w:rsid w:val="003B3AD4"/>
    <w:rsid w:val="003D04A6"/>
    <w:rsid w:val="00475806"/>
    <w:rsid w:val="00586C9C"/>
    <w:rsid w:val="005E6F9A"/>
    <w:rsid w:val="006142C5"/>
    <w:rsid w:val="006240EA"/>
    <w:rsid w:val="00647724"/>
    <w:rsid w:val="00650E89"/>
    <w:rsid w:val="006570E1"/>
    <w:rsid w:val="006C2CD6"/>
    <w:rsid w:val="006C4358"/>
    <w:rsid w:val="006D001A"/>
    <w:rsid w:val="007624AE"/>
    <w:rsid w:val="0076783F"/>
    <w:rsid w:val="00785067"/>
    <w:rsid w:val="007B3330"/>
    <w:rsid w:val="007C447F"/>
    <w:rsid w:val="008D6D97"/>
    <w:rsid w:val="008E02F7"/>
    <w:rsid w:val="008F7055"/>
    <w:rsid w:val="009F0319"/>
    <w:rsid w:val="00A90EF3"/>
    <w:rsid w:val="00AD5EC9"/>
    <w:rsid w:val="00B04927"/>
    <w:rsid w:val="00B40B38"/>
    <w:rsid w:val="00B667F9"/>
    <w:rsid w:val="00B71232"/>
    <w:rsid w:val="00B94A9C"/>
    <w:rsid w:val="00CD4F2D"/>
    <w:rsid w:val="00D1653D"/>
    <w:rsid w:val="00D25E91"/>
    <w:rsid w:val="00D329F9"/>
    <w:rsid w:val="00D8126F"/>
    <w:rsid w:val="00D861AC"/>
    <w:rsid w:val="00D9441F"/>
    <w:rsid w:val="00D947CC"/>
    <w:rsid w:val="00DF44DE"/>
    <w:rsid w:val="00E815D4"/>
    <w:rsid w:val="00E864F1"/>
    <w:rsid w:val="00E91413"/>
    <w:rsid w:val="00E9152C"/>
    <w:rsid w:val="00EA3416"/>
    <w:rsid w:val="00F25418"/>
    <w:rsid w:val="00F60D78"/>
    <w:rsid w:val="00FB4E6E"/>
    <w:rsid w:val="00FF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1A222D"/>
  <w15:chartTrackingRefBased/>
  <w15:docId w15:val="{8EB3EE1E-8370-429F-B154-B2A8FE3E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319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F0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F031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F0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0319"/>
    <w:rPr>
      <w:rFonts w:eastAsiaTheme="minorEastAsia"/>
      <w:lang w:eastAsia="hr-HR"/>
    </w:rPr>
  </w:style>
  <w:style w:type="character" w:customStyle="1" w:styleId="longtext">
    <w:name w:val="long_text"/>
    <w:basedOn w:val="Zadanifontodlomka"/>
    <w:uiPriority w:val="99"/>
    <w:rsid w:val="009F0319"/>
  </w:style>
  <w:style w:type="character" w:customStyle="1" w:styleId="hps">
    <w:name w:val="hps"/>
    <w:basedOn w:val="Zadanifontodlomka"/>
    <w:uiPriority w:val="99"/>
    <w:rsid w:val="009F0319"/>
  </w:style>
  <w:style w:type="character" w:customStyle="1" w:styleId="normaltextrun">
    <w:name w:val="normaltextrun"/>
    <w:basedOn w:val="Zadanifontodlomka"/>
    <w:rsid w:val="00105D0F"/>
  </w:style>
  <w:style w:type="character" w:customStyle="1" w:styleId="eop">
    <w:name w:val="eop"/>
    <w:basedOn w:val="Zadanifontodlomka"/>
    <w:rsid w:val="0010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4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Antunović</dc:creator>
  <cp:keywords/>
  <dc:description/>
  <cp:lastModifiedBy>Branka Antunović</cp:lastModifiedBy>
  <cp:revision>13</cp:revision>
  <dcterms:created xsi:type="dcterms:W3CDTF">2022-03-14T09:15:00Z</dcterms:created>
  <dcterms:modified xsi:type="dcterms:W3CDTF">2023-03-22T07:12:00Z</dcterms:modified>
</cp:coreProperties>
</file>