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073F2DED"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Pr="00DC1AD5" w:rsidRDefault="00A9738A"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9F866C5" w14:textId="3BA89A96"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4E3F3CD1" w14:textId="77777777" w:rsidR="005D3504" w:rsidRDefault="005D3504" w:rsidP="00B30558">
      <w:pPr>
        <w:spacing w:before="0" w:after="0"/>
        <w:contextualSpacing/>
        <w:jc w:val="both"/>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Referencafusnot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w:t>
            </w:r>
            <w:r w:rsidRPr="005B25F1">
              <w:rPr>
                <w:rFonts w:ascii="Times New Roman" w:eastAsia="Calibri" w:hAnsi="Times New Roman" w:cs="Times New Roman"/>
                <w:sz w:val="20"/>
                <w:szCs w:val="20"/>
              </w:rPr>
              <w:lastRenderedPageBreak/>
              <w:t>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0"/>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xml:space="preserve">, ali je </w:t>
            </w:r>
            <w:r w:rsidRPr="00DC1AD5">
              <w:rPr>
                <w:rFonts w:ascii="Times New Roman" w:eastAsia="Calibri" w:hAnsi="Times New Roman" w:cs="Times New Roman"/>
                <w:sz w:val="20"/>
                <w:szCs w:val="20"/>
              </w:rPr>
              <w:lastRenderedPageBreak/>
              <w:t>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Odlomakpopisa"/>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w:t>
            </w:r>
            <w:r w:rsidRPr="005B25F1">
              <w:rPr>
                <w:rFonts w:ascii="Times New Roman" w:eastAsia="Calibri" w:hAnsi="Times New Roman" w:cs="Times New Roman"/>
                <w:sz w:val="20"/>
                <w:szCs w:val="20"/>
              </w:rPr>
              <w:lastRenderedPageBreak/>
              <w:t xml:space="preserve">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Referencafusnot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-propuštanje produljenja rokova </w:t>
            </w:r>
            <w:r w:rsidRPr="00182B1F">
              <w:rPr>
                <w:rFonts w:ascii="Times New Roman" w:eastAsia="Calibri" w:hAnsi="Times New Roman" w:cs="Times New Roman"/>
                <w:sz w:val="20"/>
                <w:szCs w:val="20"/>
              </w:rPr>
              <w:lastRenderedPageBreak/>
              <w:t>za dostavu ponuda u slučaju značajne 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lastRenderedPageBreak/>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 xml:space="preserve">U pozivu na nadmetanje ili u dokumentaciji o nabavi kada se ona objavljuje istodobno s pozivom na nadmetanje nisu navedeni kriteriji  za odabir ponude i </w:t>
            </w:r>
            <w:r w:rsidRPr="007F3DCF">
              <w:rPr>
                <w:rFonts w:ascii="Times New Roman" w:hAnsi="Times New Roman" w:cs="Times New Roman"/>
                <w:sz w:val="20"/>
                <w:szCs w:val="20"/>
              </w:rPr>
              <w:lastRenderedPageBreak/>
              <w:t>njihovi ponderi</w:t>
            </w:r>
            <w:r>
              <w:rPr>
                <w:rStyle w:val="Referencafusnot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lastRenderedPageBreak/>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Referencafusnot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 xml:space="preserve">U iznimnim i opravdanim slučajevima moguće je odstupiti od zadane razine financijske korekcije, uzimajući u obzir prirodu i težinu nepravilnosti te </w:t>
            </w:r>
            <w:r w:rsidRPr="007F3DCF">
              <w:rPr>
                <w:rFonts w:ascii="Times New Roman" w:eastAsia="Calibri" w:hAnsi="Times New Roman" w:cs="Times New Roman"/>
                <w:sz w:val="20"/>
                <w:szCs w:val="20"/>
              </w:rPr>
              <w:lastRenderedPageBreak/>
              <w:t>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3F251AB4" w14:textId="4E2CFDCE" w:rsidR="0096073E" w:rsidRPr="00433D7E" w:rsidRDefault="0096073E" w:rsidP="002C6F65">
            <w:pPr>
              <w:pStyle w:val="Odlomakpopisa"/>
              <w:numPr>
                <w:ilvl w:val="0"/>
                <w:numId w:val="20"/>
              </w:numPr>
              <w:autoSpaceDE w:val="0"/>
              <w:autoSpaceDN w:val="0"/>
              <w:adjustRightInd w:val="0"/>
              <w:spacing w:after="0"/>
              <w:jc w:val="both"/>
            </w:pPr>
            <w:r w:rsidRPr="002C6F65">
              <w:rPr>
                <w:rFonts w:ascii="Times New Roman" w:eastAsia="Calibri" w:hAnsi="Times New Roman" w:cs="Times New Roman"/>
                <w:sz w:val="20"/>
                <w:szCs w:val="20"/>
              </w:rPr>
              <w:lastRenderedPageBreak/>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-a izričito ili 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p w14:paraId="044B2154" w14:textId="4E861858" w:rsidR="0096073E" w:rsidRDefault="0096073E" w:rsidP="002C6F65">
            <w:pPr>
              <w:pStyle w:val="Odlomakpopisa"/>
              <w:autoSpaceDE w:val="0"/>
              <w:autoSpaceDN w:val="0"/>
              <w:adjustRightInd w:val="0"/>
              <w:spacing w:after="0"/>
              <w:jc w:val="both"/>
              <w:rPr>
                <w:rFonts w:ascii="Times New Roman" w:eastAsia="Calibri" w:hAnsi="Times New Roman" w:cs="Times New Roman"/>
                <w:sz w:val="20"/>
                <w:szCs w:val="20"/>
              </w:rPr>
            </w:pPr>
          </w:p>
          <w:p w14:paraId="737A2FDC" w14:textId="77777777" w:rsidR="009069E7" w:rsidRDefault="009069E7" w:rsidP="002C6F65">
            <w:pPr>
              <w:pStyle w:val="Odlomakpopisa"/>
              <w:autoSpaceDE w:val="0"/>
              <w:autoSpaceDN w:val="0"/>
              <w:adjustRightInd w:val="0"/>
              <w:spacing w:after="0"/>
              <w:jc w:val="both"/>
              <w:rPr>
                <w:rFonts w:ascii="Times New Roman" w:eastAsia="Calibri" w:hAnsi="Times New Roman" w:cs="Times New Roman"/>
                <w:sz w:val="20"/>
                <w:szCs w:val="20"/>
              </w:rPr>
            </w:pPr>
          </w:p>
          <w:p w14:paraId="1F1CD7EF" w14:textId="1201A16D" w:rsidR="0096073E" w:rsidRPr="00DC1AD5" w:rsidRDefault="0096073E" w:rsidP="002C6F6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Odlomakpopisa"/>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Odlomakpopisa"/>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Referencafusnot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Odlomakpopisa"/>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Odlomakpopisa"/>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Odlomakpopisa"/>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Referencafusnot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w:t>
            </w:r>
            <w:r w:rsidRPr="00AD39EC">
              <w:rPr>
                <w:rFonts w:ascii="Times New Roman" w:eastAsia="Calibri" w:hAnsi="Times New Roman" w:cs="Times New Roman"/>
                <w:sz w:val="20"/>
                <w:szCs w:val="20"/>
              </w:rPr>
              <w:lastRenderedPageBreak/>
              <w:t>uključivanje drugih 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112D5C5E" w14:textId="6AE69A53" w:rsidR="00FC52CB" w:rsidRPr="00DC1AD5" w:rsidDel="00EB0F30"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p w14:paraId="6D5B2507" w14:textId="77777777"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Pr="00C93169" w:rsidRDefault="00783487" w:rsidP="00783487">
      <w:pPr>
        <w:spacing w:before="0" w:after="0"/>
        <w:contextualSpacing/>
        <w:jc w:val="both"/>
        <w:rPr>
          <w:rFonts w:ascii="Times New Roman" w:eastAsia="Calibri" w:hAnsi="Times New Roman" w:cs="Times New Roman"/>
          <w:sz w:val="20"/>
          <w:szCs w:val="20"/>
        </w:rPr>
      </w:pPr>
    </w:p>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iperveza"/>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29104B2F"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iperveza"/>
                  <w:rFonts w:ascii="Times New Roman" w:hAnsi="Times New Roman"/>
                  <w:sz w:val="20"/>
                  <w:szCs w:val="20"/>
                </w:rPr>
                <w:t>www.planoporavka.gov.hr</w:t>
              </w:r>
            </w:hyperlink>
            <w:r w:rsidR="00B9303D">
              <w:rPr>
                <w:rStyle w:val="Hiperveza"/>
                <w:rFonts w:ascii="Times New Roman" w:hAnsi="Times New Roman"/>
                <w:sz w:val="20"/>
                <w:szCs w:val="20"/>
              </w:rPr>
              <w:t xml:space="preserve"> </w:t>
            </w:r>
            <w:r w:rsidRPr="00B9303D">
              <w:rPr>
                <w:rFonts w:ascii="Times New Roman" w:hAnsi="Times New Roman"/>
                <w:sz w:val="20"/>
                <w:szCs w:val="20"/>
              </w:rPr>
              <w:t xml:space="preserve">kada je za to postojala obveza, ali je zainteresirana strana (gospodarski </w:t>
            </w:r>
            <w:r w:rsidRPr="00B9303D">
              <w:rPr>
                <w:rFonts w:ascii="Times New Roman" w:hAnsi="Times New Roman"/>
                <w:sz w:val="20"/>
                <w:szCs w:val="20"/>
              </w:rPr>
              <w:lastRenderedPageBreak/>
              <w:t>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odabrani načini oglašavanja (internet, službena nacionalna glasila, lokalne novine, oglasne ploče) su </w:t>
            </w:r>
            <w:r w:rsidRPr="00DC1AD5">
              <w:rPr>
                <w:rFonts w:ascii="Times New Roman" w:hAnsi="Times New Roman"/>
                <w:sz w:val="20"/>
                <w:szCs w:val="20"/>
              </w:rPr>
              <w:lastRenderedPageBreak/>
              <w:t>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Pr="00526530">
              <w:rPr>
                <w:rStyle w:val="Referencafusnot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 xml:space="preserve">Može se dokazati da minimalne razine sposobnosti za određeni ugovor nisu povezane s predmetom ugovora niti su razmjerne predmetu ugovora, pri čemu se ne osigurava jednak pristup ponuditeljima ili to ima učinak stvaranja neopravdanih prepreka </w:t>
            </w:r>
            <w:r w:rsidRPr="00C075D8">
              <w:rPr>
                <w:rFonts w:ascii="Times New Roman" w:hAnsi="Times New Roman"/>
                <w:sz w:val="20"/>
                <w:szCs w:val="20"/>
              </w:rPr>
              <w:lastRenderedPageBreak/>
              <w:t>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lastRenderedPageBreak/>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 xml:space="preserve">u slučaju kada minimalne razine uvjeta nisu uopće povezane s predmetom nabave ili su uvjeti za izvršenje ugovora koji su postavljeni doveli do situacije u kojoj je samo </w:t>
            </w:r>
            <w:r w:rsidRPr="00CF3B45">
              <w:rPr>
                <w:rFonts w:ascii="Times New Roman" w:hAnsi="Times New Roman"/>
                <w:sz w:val="20"/>
                <w:szCs w:val="20"/>
              </w:rPr>
              <w:lastRenderedPageBreak/>
              <w:t>jedan gospodarski subjekt mogao predati ponudu, a takav ishod ne može se opravdati tehničkim uvjetima određenog ugovora</w:t>
            </w:r>
          </w:p>
          <w:p w14:paraId="4B9992A2" w14:textId="4AB2E633" w:rsidR="00CF3B45" w:rsidRPr="00CF3B45" w:rsidRDefault="00CF3B45" w:rsidP="00CF3B45">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020DB9AC" w14:textId="77777777" w:rsidR="00620D19" w:rsidRDefault="00620D19" w:rsidP="00D40619">
            <w:pPr>
              <w:spacing w:after="240"/>
              <w:jc w:val="both"/>
              <w:rPr>
                <w:rFonts w:ascii="Times New Roman" w:hAnsi="Times New Roman"/>
                <w:sz w:val="20"/>
                <w:szCs w:val="20"/>
              </w:rPr>
            </w:pP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lastRenderedPageBreak/>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tehničke specifikacije ne sadrže naziv robne marke, ali sadrže tehničke i funkcionalne zahtjeve koji su definirani na način da samo određena robna marka iste </w:t>
            </w:r>
            <w:r w:rsidRPr="00DC1AD5">
              <w:rPr>
                <w:rFonts w:ascii="Times New Roman" w:hAnsi="Times New Roman"/>
                <w:sz w:val="20"/>
                <w:szCs w:val="20"/>
              </w:rPr>
              <w:lastRenderedPageBreak/>
              <w:t>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lastRenderedPageBreak/>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w:t>
            </w:r>
            <w:r w:rsidRPr="00E165A8">
              <w:rPr>
                <w:rFonts w:ascii="Times New Roman" w:hAnsi="Times New Roman"/>
                <w:sz w:val="20"/>
                <w:szCs w:val="20"/>
              </w:rPr>
              <w:lastRenderedPageBreak/>
              <w:t xml:space="preserve">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lastRenderedPageBreak/>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(uključujući 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lastRenderedPageBreak/>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Referencafusnot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w:t>
            </w:r>
            <w:r w:rsidRPr="00DC1AD5">
              <w:rPr>
                <w:rFonts w:ascii="Times New Roman" w:eastAsia="Calibri" w:hAnsi="Times New Roman" w:cs="Times New Roman"/>
                <w:sz w:val="20"/>
                <w:szCs w:val="20"/>
                <w:lang w:eastAsia="ar-SA"/>
              </w:rPr>
              <w:lastRenderedPageBreak/>
              <w:t>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projektnom prijedlogu je naznačena dodatna mjera (iznad zakonskog minimuma) te je i bodovana na 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projekta (dodjele bespovratnih sredstava), projektni prijedlog je dobio dodatne bodove, a provjera nadležnog tijela pokazuje da dodatni, posebni roba/radovi/usluge nisu </w:t>
            </w:r>
            <w:r w:rsidRPr="00DC1AD5">
              <w:rPr>
                <w:rFonts w:ascii="Times New Roman" w:eastAsia="Calibri" w:hAnsi="Times New Roman" w:cs="Times New Roman"/>
                <w:sz w:val="20"/>
                <w:szCs w:val="20"/>
              </w:rPr>
              <w:lastRenderedPageBreak/>
              <w:t>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w:t>
            </w:r>
            <w:r w:rsidRPr="00DC1AD5">
              <w:rPr>
                <w:rFonts w:ascii="Times New Roman" w:eastAsia="Calibri" w:hAnsi="Times New Roman" w:cs="Times New Roman"/>
                <w:sz w:val="20"/>
                <w:szCs w:val="20"/>
              </w:rPr>
              <w:lastRenderedPageBreak/>
              <w:t xml:space="preserve">prilagodba svih neophodnih radova/roba 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bookmarkStart w:id="1" w:name="_GoBack"/>
      <w:bookmarkEnd w:id="1"/>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EA075" w14:textId="77777777" w:rsidR="005D3504" w:rsidRDefault="005D3504" w:rsidP="0056094F">
      <w:pPr>
        <w:spacing w:before="0" w:after="0"/>
      </w:pPr>
      <w:r>
        <w:separator/>
      </w:r>
    </w:p>
  </w:endnote>
  <w:endnote w:type="continuationSeparator" w:id="0">
    <w:p w14:paraId="55B11030" w14:textId="77777777" w:rsidR="005D3504" w:rsidRDefault="005D3504" w:rsidP="0056094F">
      <w:pPr>
        <w:spacing w:before="0" w:after="0"/>
      </w:pPr>
      <w:r>
        <w:continuationSeparator/>
      </w:r>
    </w:p>
  </w:endnote>
  <w:endnote w:type="continuationNotice" w:id="1">
    <w:p w14:paraId="5B3BCB72" w14:textId="77777777" w:rsidR="005D3504" w:rsidRDefault="005D35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BB6" w14:textId="77777777" w:rsidR="005D3504" w:rsidRDefault="005D3504">
    <w:pPr>
      <w:pStyle w:val="Podnoje"/>
      <w:jc w:val="center"/>
      <w:rPr>
        <w:rFonts w:ascii="Times New Roman" w:hAnsi="Times New Roman" w:cs="Times New Roman"/>
        <w:sz w:val="18"/>
        <w:szCs w:val="18"/>
      </w:rPr>
    </w:pPr>
  </w:p>
  <w:p w14:paraId="5789A5E2" w14:textId="4410D2A2" w:rsidR="005D3504" w:rsidRPr="00EF5861" w:rsidRDefault="005D3504">
    <w:pPr>
      <w:pStyle w:val="Podnoje"/>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7E3E8E">
          <w:rPr>
            <w:rFonts w:ascii="Times New Roman" w:hAnsi="Times New Roman" w:cs="Times New Roman"/>
            <w:noProof/>
            <w:sz w:val="18"/>
            <w:szCs w:val="18"/>
          </w:rPr>
          <w:t>35</w:t>
        </w:r>
        <w:r w:rsidRPr="00EF5861">
          <w:rPr>
            <w:rFonts w:ascii="Times New Roman" w:hAnsi="Times New Roman" w:cs="Times New Roman"/>
            <w:noProof/>
            <w:sz w:val="18"/>
            <w:szCs w:val="18"/>
          </w:rPr>
          <w:fldChar w:fldCharType="end"/>
        </w:r>
      </w:sdtContent>
    </w:sdt>
  </w:p>
  <w:p w14:paraId="56ADB72D" w14:textId="0801BB8F" w:rsidR="005D3504" w:rsidRDefault="005D350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55611" w14:textId="77777777" w:rsidR="005D3504" w:rsidRDefault="005D3504" w:rsidP="0056094F">
      <w:pPr>
        <w:spacing w:before="0" w:after="0"/>
      </w:pPr>
      <w:r>
        <w:separator/>
      </w:r>
    </w:p>
  </w:footnote>
  <w:footnote w:type="continuationSeparator" w:id="0">
    <w:p w14:paraId="5AF5E840" w14:textId="77777777" w:rsidR="005D3504" w:rsidRDefault="005D3504" w:rsidP="0056094F">
      <w:pPr>
        <w:spacing w:before="0" w:after="0"/>
      </w:pPr>
      <w:r>
        <w:continuationSeparator/>
      </w:r>
    </w:p>
  </w:footnote>
  <w:footnote w:type="continuationNotice" w:id="1">
    <w:p w14:paraId="5732EF33" w14:textId="77777777" w:rsidR="005D3504" w:rsidRDefault="005D3504">
      <w:pPr>
        <w:spacing w:before="0" w:after="0"/>
      </w:pPr>
    </w:p>
  </w:footnote>
  <w:footnote w:id="2">
    <w:p w14:paraId="64E60057" w14:textId="77777777" w:rsidR="005D3504" w:rsidRPr="00A9738A" w:rsidRDefault="005D3504" w:rsidP="00D0103E">
      <w:pPr>
        <w:pStyle w:val="Tekstfusnote"/>
        <w:jc w:val="both"/>
        <w:rPr>
          <w:highlight w:val="yellow"/>
          <w:lang w:val="hr-HR"/>
        </w:rPr>
      </w:pPr>
      <w:r w:rsidRPr="00AB2CD7">
        <w:rPr>
          <w:rStyle w:val="Referencafusnot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Tekstfusnote"/>
        <w:rPr>
          <w:lang w:val="hr-HR"/>
        </w:rPr>
      </w:pPr>
      <w:r w:rsidRPr="008D616A">
        <w:rPr>
          <w:rStyle w:val="Referencafusnot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Tekstfusnote"/>
        <w:jc w:val="both"/>
        <w:rPr>
          <w:lang w:val="hr-HR"/>
        </w:rPr>
      </w:pPr>
      <w:r>
        <w:rPr>
          <w:rStyle w:val="Referencafusnot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5">
    <w:p w14:paraId="5A75ACAE" w14:textId="77777777" w:rsidR="005D3504" w:rsidRPr="005B25F1" w:rsidRDefault="005D3504" w:rsidP="004C1A12">
      <w:pPr>
        <w:pStyle w:val="HTMLunaprijedoblikovano"/>
        <w:shd w:val="clear" w:color="auto" w:fill="FFFFFF"/>
        <w:jc w:val="both"/>
        <w:rPr>
          <w:rFonts w:ascii="Times New Roman" w:eastAsia="Times New Roman" w:hAnsi="Times New Roman" w:cs="Times New Roman"/>
          <w:color w:val="212121"/>
          <w:lang w:eastAsia="hr-HR"/>
        </w:rPr>
      </w:pPr>
      <w:r w:rsidRPr="005B25F1">
        <w:rPr>
          <w:rStyle w:val="Referencafusnot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Tekstfusnote"/>
        <w:rPr>
          <w:lang w:val="hr-HR"/>
        </w:rPr>
      </w:pPr>
      <w:r w:rsidRPr="005B25F1">
        <w:rPr>
          <w:rStyle w:val="Referencafusnot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Tekstfusnote"/>
        <w:rPr>
          <w:lang w:val="hr-HR"/>
        </w:rPr>
      </w:pPr>
      <w:r>
        <w:rPr>
          <w:rStyle w:val="Referencafusnot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Tekstfusnote"/>
        <w:jc w:val="both"/>
        <w:rPr>
          <w:lang w:val="hr-HR"/>
        </w:rPr>
      </w:pPr>
      <w:r w:rsidRPr="008F691C">
        <w:rPr>
          <w:rStyle w:val="Referencafusnot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Tekstfusnote"/>
        <w:jc w:val="both"/>
        <w:rPr>
          <w:lang w:val="hr-HR"/>
        </w:rPr>
      </w:pPr>
      <w:r w:rsidRPr="00CE753A">
        <w:rPr>
          <w:rStyle w:val="Referencafusnot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Tekstfusnote"/>
        <w:jc w:val="both"/>
        <w:rPr>
          <w:lang w:val="hr-HR"/>
        </w:rPr>
      </w:pPr>
      <w:r w:rsidRPr="00460D22">
        <w:rPr>
          <w:rStyle w:val="Referencafusnot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Tekstfusnote"/>
        <w:jc w:val="both"/>
        <w:rPr>
          <w:lang w:val="hr-HR"/>
        </w:rPr>
      </w:pPr>
      <w:r w:rsidRPr="00460D22">
        <w:rPr>
          <w:lang w:val="hr-HR"/>
        </w:rPr>
        <w:t>a) vrijednost izmjena je ispod sljedećih vrijednosti:</w:t>
      </w:r>
    </w:p>
    <w:p w14:paraId="083A3D91" w14:textId="77777777" w:rsidR="005D3504" w:rsidRPr="00460D22" w:rsidRDefault="005D3504" w:rsidP="00460D22">
      <w:pPr>
        <w:pStyle w:val="Tekstfusnote"/>
        <w:jc w:val="both"/>
        <w:rPr>
          <w:lang w:val="hr-HR"/>
        </w:rPr>
      </w:pPr>
      <w:r w:rsidRPr="00460D22">
        <w:rPr>
          <w:lang w:val="hr-HR"/>
        </w:rPr>
        <w:t>(i) pragovi utvrđeni u članku 4. Direktive 2014/24 / EU; i</w:t>
      </w:r>
    </w:p>
    <w:p w14:paraId="3D58AADC" w14:textId="77777777" w:rsidR="005D3504" w:rsidRPr="00460D22" w:rsidRDefault="005D3504" w:rsidP="00460D22">
      <w:pPr>
        <w:pStyle w:val="Tekstfusnote"/>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Tekstfusnote"/>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Referencafusnot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Tekstfusnote"/>
        <w:rPr>
          <w:lang w:val="hr-HR"/>
        </w:rPr>
      </w:pPr>
      <w:r w:rsidRPr="004C1A12">
        <w:rPr>
          <w:rStyle w:val="Referencafusnot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Tekstfusnote"/>
      </w:pPr>
      <w:r w:rsidRPr="004C1A12">
        <w:rPr>
          <w:rStyle w:val="Referencafusnot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Tekstfusnote"/>
        <w:jc w:val="both"/>
        <w:rPr>
          <w:lang w:val="hr-HR"/>
        </w:rPr>
      </w:pPr>
      <w:r w:rsidRPr="00526530">
        <w:rPr>
          <w:rStyle w:val="Referencafusnot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Referencafusnot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Tekstfusnote"/>
        <w:rPr>
          <w:lang w:val="hr-HR"/>
        </w:rPr>
      </w:pPr>
      <w:r>
        <w:rPr>
          <w:rStyle w:val="Referencafusnot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F77923" w:rsidRPr="0082745C" w14:paraId="1A4E9A22" w14:textId="77777777" w:rsidTr="00505BC8">
      <w:trPr>
        <w:trHeight w:val="335"/>
      </w:trPr>
      <w:tc>
        <w:tcPr>
          <w:tcW w:w="1791" w:type="dxa"/>
          <w:vMerge w:val="restart"/>
          <w:tcBorders>
            <w:top w:val="single" w:sz="4" w:space="0" w:color="auto"/>
            <w:left w:val="single" w:sz="4" w:space="0" w:color="auto"/>
            <w:right w:val="single" w:sz="4" w:space="0" w:color="auto"/>
          </w:tcBorders>
        </w:tcPr>
        <w:p w14:paraId="09EC1578" w14:textId="77777777" w:rsidR="00F77923" w:rsidRPr="00F77923" w:rsidRDefault="00F77923" w:rsidP="00F77923">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Ministarstvo financija</w:t>
          </w:r>
        </w:p>
        <w:p w14:paraId="41005038" w14:textId="77777777" w:rsidR="00F77923" w:rsidRPr="00F77923" w:rsidRDefault="00F77923" w:rsidP="00F77923">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441253F4" w14:textId="77777777" w:rsidR="00F77923" w:rsidRPr="00F77923" w:rsidRDefault="00F77923" w:rsidP="00F77923">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0E2B88CB" w14:textId="77777777" w:rsidR="00F77923" w:rsidRPr="00F77923" w:rsidRDefault="00F77923" w:rsidP="00F77923">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Pravilo br.</w:t>
          </w:r>
        </w:p>
      </w:tc>
      <w:tc>
        <w:tcPr>
          <w:tcW w:w="2913" w:type="dxa"/>
          <w:tcBorders>
            <w:top w:val="single" w:sz="4" w:space="0" w:color="auto"/>
            <w:left w:val="single" w:sz="4" w:space="0" w:color="auto"/>
            <w:bottom w:val="single" w:sz="4" w:space="0" w:color="auto"/>
            <w:right w:val="single" w:sz="4" w:space="0" w:color="auto"/>
          </w:tcBorders>
        </w:tcPr>
        <w:p w14:paraId="372B7C5C" w14:textId="043734F0" w:rsidR="00F77923" w:rsidRPr="00F77923" w:rsidRDefault="00F77923" w:rsidP="00E553AF">
          <w:pPr>
            <w:spacing w:before="0" w:after="0"/>
            <w:ind w:firstLine="18"/>
            <w:jc w:val="center"/>
            <w:rPr>
              <w:rFonts w:ascii="Times New Roman" w:hAnsi="Times New Roman" w:cs="Times New Roman"/>
              <w:b/>
              <w:sz w:val="24"/>
              <w:szCs w:val="24"/>
            </w:rPr>
          </w:pPr>
          <w:r w:rsidRPr="00F77923">
            <w:rPr>
              <w:rFonts w:ascii="Times New Roman" w:hAnsi="Times New Roman" w:cs="Times New Roman"/>
              <w:b/>
              <w:sz w:val="24"/>
              <w:szCs w:val="24"/>
            </w:rPr>
            <w:t>0</w:t>
          </w:r>
          <w:r w:rsidR="00E553AF">
            <w:rPr>
              <w:rFonts w:ascii="Times New Roman" w:hAnsi="Times New Roman" w:cs="Times New Roman"/>
              <w:b/>
              <w:sz w:val="24"/>
              <w:szCs w:val="24"/>
            </w:rPr>
            <w:t>7</w:t>
          </w:r>
        </w:p>
      </w:tc>
    </w:tr>
    <w:tr w:rsidR="00073BAE" w:rsidRPr="0082745C" w14:paraId="08DBEA3C" w14:textId="77777777" w:rsidTr="00505BC8">
      <w:trPr>
        <w:trHeight w:val="142"/>
      </w:trPr>
      <w:tc>
        <w:tcPr>
          <w:tcW w:w="1791" w:type="dxa"/>
          <w:vMerge/>
          <w:tcBorders>
            <w:left w:val="single" w:sz="4" w:space="0" w:color="auto"/>
            <w:right w:val="single" w:sz="4" w:space="0" w:color="auto"/>
          </w:tcBorders>
        </w:tcPr>
        <w:p w14:paraId="547BD37B" w14:textId="77777777" w:rsidR="00073BAE" w:rsidRPr="00F77923" w:rsidRDefault="00073BAE" w:rsidP="00073BAE">
          <w:pPr>
            <w:spacing w:before="0" w:after="0"/>
            <w:jc w:val="center"/>
            <w:rPr>
              <w:rFonts w:ascii="Times New Roman" w:hAnsi="Times New Roman" w:cs="Times New Roman"/>
              <w:b/>
              <w:sz w:val="24"/>
              <w:szCs w:val="24"/>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2D6CFA50" w14:textId="15A80BA5" w:rsidR="00073BAE" w:rsidRPr="00F77923" w:rsidRDefault="00073BAE" w:rsidP="00073BAE">
          <w:pPr>
            <w:spacing w:before="0" w:after="0"/>
            <w:jc w:val="center"/>
            <w:rPr>
              <w:rFonts w:ascii="Times New Roman" w:hAnsi="Times New Roman" w:cs="Times New Roman"/>
              <w:b/>
              <w:sz w:val="24"/>
              <w:szCs w:val="24"/>
            </w:rPr>
          </w:pPr>
          <w:r>
            <w:rPr>
              <w:rFonts w:ascii="Times New Roman" w:hAnsi="Times New Roman" w:cs="Times New Roman"/>
              <w:b/>
              <w:sz w:val="24"/>
              <w:szCs w:val="24"/>
            </w:rPr>
            <w:t>Nepravilnosti</w:t>
          </w:r>
        </w:p>
        <w:p w14:paraId="48CBA6BA" w14:textId="77777777" w:rsidR="00073BAE" w:rsidRPr="00F77923" w:rsidRDefault="00073BAE" w:rsidP="00073BAE">
          <w:pPr>
            <w:spacing w:before="0" w:after="0"/>
            <w:jc w:val="center"/>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47C81B57" w14:textId="77777777" w:rsidR="00073BAE" w:rsidRPr="00F77923" w:rsidRDefault="00073BAE" w:rsidP="00073BAE">
          <w:pPr>
            <w:spacing w:before="0" w:after="0"/>
            <w:jc w:val="center"/>
            <w:rPr>
              <w:rFonts w:ascii="Times New Roman" w:hAnsi="Times New Roman" w:cs="Times New Roman"/>
              <w:b/>
              <w:sz w:val="24"/>
              <w:szCs w:val="24"/>
            </w:rPr>
          </w:pPr>
          <w:r w:rsidRPr="00F77923">
            <w:rPr>
              <w:rFonts w:ascii="Times New Roman" w:hAnsi="Times New Roman" w:cs="Times New Roman"/>
              <w:b/>
              <w:sz w:val="24"/>
              <w:szCs w:val="24"/>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62CDB66A" w14:textId="2BF81E8C" w:rsidR="00073BAE" w:rsidRPr="00F77923" w:rsidRDefault="007E3E8E" w:rsidP="00073BAE">
          <w:pPr>
            <w:spacing w:before="0" w:after="0"/>
            <w:jc w:val="center"/>
            <w:rPr>
              <w:rFonts w:ascii="Times New Roman" w:hAnsi="Times New Roman" w:cs="Times New Roman"/>
              <w:b/>
              <w:sz w:val="24"/>
              <w:szCs w:val="24"/>
            </w:rPr>
          </w:pPr>
          <w:r>
            <w:rPr>
              <w:rFonts w:ascii="Times New Roman" w:hAnsi="Times New Roman"/>
              <w:b/>
              <w:bCs/>
              <w:kern w:val="32"/>
              <w:sz w:val="24"/>
              <w:szCs w:val="24"/>
            </w:rPr>
            <w:t xml:space="preserve">Travanj </w:t>
          </w:r>
          <w:r w:rsidR="00073BAE">
            <w:rPr>
              <w:rFonts w:ascii="Times New Roman" w:hAnsi="Times New Roman" w:cs="Times New Roman"/>
              <w:b/>
              <w:bCs/>
              <w:kern w:val="32"/>
              <w:sz w:val="24"/>
              <w:szCs w:val="24"/>
            </w:rPr>
            <w:t>2022.</w:t>
          </w:r>
        </w:p>
      </w:tc>
    </w:tr>
    <w:tr w:rsidR="00073BAE" w:rsidRPr="0082745C" w14:paraId="69B24774" w14:textId="77777777" w:rsidTr="00505BC8">
      <w:trPr>
        <w:trHeight w:val="142"/>
      </w:trPr>
      <w:tc>
        <w:tcPr>
          <w:tcW w:w="1791" w:type="dxa"/>
          <w:vMerge/>
          <w:tcBorders>
            <w:left w:val="single" w:sz="4" w:space="0" w:color="auto"/>
            <w:right w:val="single" w:sz="4" w:space="0" w:color="auto"/>
          </w:tcBorders>
        </w:tcPr>
        <w:p w14:paraId="77B5BE95" w14:textId="77777777" w:rsidR="00073BAE" w:rsidRPr="00F77923" w:rsidRDefault="00073BAE" w:rsidP="00073BAE">
          <w:pPr>
            <w:spacing w:before="0" w:after="0"/>
            <w:jc w:val="center"/>
            <w:rPr>
              <w:rFonts w:ascii="Times New Roman" w:hAnsi="Times New Roman" w:cs="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125D6294" w14:textId="77777777" w:rsidR="00073BAE" w:rsidRPr="00F77923" w:rsidRDefault="00073BAE" w:rsidP="00073BAE">
          <w:pPr>
            <w:spacing w:before="0" w:after="0"/>
            <w:jc w:val="center"/>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239B7267" w14:textId="77777777" w:rsidR="00073BAE" w:rsidRPr="00F77923" w:rsidRDefault="00073BAE" w:rsidP="00073BAE">
          <w:pPr>
            <w:spacing w:before="0" w:after="0"/>
            <w:jc w:val="center"/>
            <w:rPr>
              <w:rFonts w:ascii="Times New Roman" w:hAnsi="Times New Roman" w:cs="Times New Roman"/>
              <w:b/>
              <w:sz w:val="24"/>
              <w:szCs w:val="24"/>
            </w:rPr>
          </w:pPr>
          <w:r w:rsidRPr="00F77923">
            <w:rPr>
              <w:rFonts w:ascii="Times New Roman" w:hAnsi="Times New Roman" w:cs="Times New Roman"/>
              <w:b/>
              <w:sz w:val="24"/>
              <w:szCs w:val="24"/>
            </w:rPr>
            <w:t>Verzija</w:t>
          </w:r>
        </w:p>
      </w:tc>
      <w:tc>
        <w:tcPr>
          <w:tcW w:w="2913" w:type="dxa"/>
          <w:tcBorders>
            <w:top w:val="single" w:sz="4" w:space="0" w:color="auto"/>
            <w:left w:val="single" w:sz="4" w:space="0" w:color="auto"/>
            <w:bottom w:val="single" w:sz="4" w:space="0" w:color="auto"/>
            <w:right w:val="single" w:sz="4" w:space="0" w:color="auto"/>
          </w:tcBorders>
        </w:tcPr>
        <w:p w14:paraId="1D809A75" w14:textId="1DCA8BAC" w:rsidR="00073BAE" w:rsidRPr="00F77923" w:rsidRDefault="007E3E8E" w:rsidP="00073BAE">
          <w:pPr>
            <w:spacing w:before="0" w:after="0"/>
            <w:jc w:val="center"/>
            <w:rPr>
              <w:rFonts w:ascii="Times New Roman" w:hAnsi="Times New Roman" w:cs="Times New Roman"/>
              <w:b/>
              <w:sz w:val="24"/>
              <w:szCs w:val="24"/>
            </w:rPr>
          </w:pPr>
          <w:r>
            <w:rPr>
              <w:rFonts w:ascii="Times New Roman" w:hAnsi="Times New Roman" w:cs="Times New Roman"/>
              <w:b/>
              <w:color w:val="000000" w:themeColor="text1"/>
              <w:sz w:val="24"/>
              <w:szCs w:val="24"/>
            </w:rPr>
            <w:t>2.0</w:t>
          </w:r>
        </w:p>
      </w:tc>
    </w:tr>
    <w:tr w:rsidR="00F77923" w:rsidRPr="0082745C" w14:paraId="22C62075" w14:textId="77777777" w:rsidTr="00505BC8">
      <w:trPr>
        <w:trHeight w:val="345"/>
      </w:trPr>
      <w:tc>
        <w:tcPr>
          <w:tcW w:w="1791" w:type="dxa"/>
          <w:vMerge/>
          <w:tcBorders>
            <w:left w:val="single" w:sz="4" w:space="0" w:color="auto"/>
            <w:bottom w:val="single" w:sz="4" w:space="0" w:color="auto"/>
            <w:right w:val="single" w:sz="4" w:space="0" w:color="auto"/>
          </w:tcBorders>
        </w:tcPr>
        <w:p w14:paraId="776C1BE2" w14:textId="77777777" w:rsidR="00F77923" w:rsidRPr="00F77923" w:rsidRDefault="00F77923" w:rsidP="00F77923">
          <w:pPr>
            <w:spacing w:before="0" w:after="0"/>
            <w:jc w:val="center"/>
            <w:rPr>
              <w:rFonts w:ascii="Times New Roman" w:hAnsi="Times New Roman" w:cs="Times New Roman"/>
              <w:b/>
              <w:sz w:val="24"/>
              <w:szCs w:val="24"/>
            </w:rPr>
          </w:pPr>
        </w:p>
      </w:tc>
      <w:tc>
        <w:tcPr>
          <w:tcW w:w="3606" w:type="dxa"/>
          <w:vMerge/>
          <w:tcBorders>
            <w:top w:val="single" w:sz="4" w:space="0" w:color="auto"/>
            <w:left w:val="single" w:sz="4" w:space="0" w:color="auto"/>
            <w:bottom w:val="single" w:sz="4" w:space="0" w:color="auto"/>
            <w:right w:val="single" w:sz="4" w:space="0" w:color="auto"/>
          </w:tcBorders>
        </w:tcPr>
        <w:p w14:paraId="097698C7" w14:textId="77777777" w:rsidR="00F77923" w:rsidRPr="00F77923" w:rsidRDefault="00F77923" w:rsidP="00F77923">
          <w:pPr>
            <w:spacing w:before="0" w:after="0"/>
            <w:jc w:val="center"/>
            <w:rPr>
              <w:rFonts w:ascii="Times New Roman" w:hAnsi="Times New Roman" w:cs="Times New Roman"/>
              <w:b/>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tcPr>
        <w:p w14:paraId="25CFBE85" w14:textId="77777777" w:rsidR="00F77923" w:rsidRPr="00F77923" w:rsidRDefault="00F77923" w:rsidP="00F77923">
          <w:pPr>
            <w:spacing w:before="0" w:after="0"/>
            <w:jc w:val="center"/>
            <w:rPr>
              <w:rFonts w:ascii="Times New Roman" w:hAnsi="Times New Roman" w:cs="Times New Roman"/>
              <w:b/>
              <w:sz w:val="24"/>
              <w:szCs w:val="24"/>
            </w:rPr>
          </w:pPr>
          <w:r w:rsidRPr="00F77923">
            <w:rPr>
              <w:rFonts w:ascii="Times New Roman" w:hAnsi="Times New Roman" w:cs="Times New Roman"/>
              <w:b/>
              <w:sz w:val="24"/>
              <w:szCs w:val="24"/>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DCCBEF2" w14:textId="77777777" w:rsidR="00F77923" w:rsidRPr="00F77923" w:rsidRDefault="00F77923" w:rsidP="00F77923">
          <w:pPr>
            <w:spacing w:before="0" w:after="0"/>
            <w:jc w:val="center"/>
            <w:rPr>
              <w:rFonts w:ascii="Times New Roman" w:hAnsi="Times New Roman" w:cs="Times New Roman"/>
              <w:b/>
              <w:sz w:val="24"/>
              <w:szCs w:val="24"/>
            </w:rPr>
          </w:pPr>
          <w:r w:rsidRPr="00F77923">
            <w:rPr>
              <w:rFonts w:ascii="Times New Roman" w:hAnsi="Times New Roman" w:cs="Times New Roman"/>
              <w:b/>
              <w:sz w:val="24"/>
              <w:szCs w:val="24"/>
            </w:rPr>
            <w:t>Ministar MFIN</w:t>
          </w:r>
        </w:p>
      </w:tc>
    </w:tr>
  </w:tbl>
  <w:p w14:paraId="03868CAA" w14:textId="77777777" w:rsidR="00F77923" w:rsidRDefault="00F7792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Referencakomentara">
    <w:name w:val="annotation reference"/>
    <w:basedOn w:val="Zadanifontodlomka"/>
    <w:uiPriority w:val="99"/>
    <w:semiHidden/>
    <w:unhideWhenUsed/>
    <w:rsid w:val="00F951EE"/>
    <w:rPr>
      <w:sz w:val="16"/>
      <w:szCs w:val="16"/>
    </w:rPr>
  </w:style>
  <w:style w:type="paragraph" w:styleId="Tekstkomentara">
    <w:name w:val="annotation text"/>
    <w:basedOn w:val="Normal"/>
    <w:link w:val="TekstkomentaraChar"/>
    <w:uiPriority w:val="99"/>
    <w:unhideWhenUsed/>
    <w:rsid w:val="00F951EE"/>
    <w:rPr>
      <w:sz w:val="20"/>
      <w:szCs w:val="20"/>
    </w:rPr>
  </w:style>
  <w:style w:type="character" w:customStyle="1" w:styleId="TekstkomentaraChar">
    <w:name w:val="Tekst komentara Char"/>
    <w:basedOn w:val="Zadanifontodlomka"/>
    <w:link w:val="Tekstkomentara"/>
    <w:uiPriority w:val="99"/>
    <w:rsid w:val="00F951EE"/>
    <w:rPr>
      <w:sz w:val="20"/>
      <w:szCs w:val="20"/>
    </w:rPr>
  </w:style>
  <w:style w:type="paragraph" w:styleId="Predmetkomentara">
    <w:name w:val="annotation subject"/>
    <w:basedOn w:val="Tekstkomentara"/>
    <w:next w:val="Tekstkomentara"/>
    <w:link w:val="PredmetkomentaraChar"/>
    <w:uiPriority w:val="99"/>
    <w:semiHidden/>
    <w:unhideWhenUsed/>
    <w:rsid w:val="00F951EE"/>
    <w:rPr>
      <w:b/>
      <w:bCs/>
    </w:rPr>
  </w:style>
  <w:style w:type="character" w:customStyle="1" w:styleId="PredmetkomentaraChar">
    <w:name w:val="Predmet komentara Char"/>
    <w:basedOn w:val="TekstkomentaraChar"/>
    <w:link w:val="Predmetkomentara"/>
    <w:uiPriority w:val="99"/>
    <w:semiHidden/>
    <w:rsid w:val="00F951EE"/>
    <w:rPr>
      <w:b/>
      <w:bCs/>
      <w:sz w:val="20"/>
      <w:szCs w:val="20"/>
    </w:rPr>
  </w:style>
  <w:style w:type="paragraph" w:styleId="Tekstbalonia">
    <w:name w:val="Balloon Text"/>
    <w:basedOn w:val="Normal"/>
    <w:link w:val="TekstbaloniaChar"/>
    <w:uiPriority w:val="99"/>
    <w:semiHidden/>
    <w:unhideWhenUsed/>
    <w:rsid w:val="00F951EE"/>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951EE"/>
    <w:rPr>
      <w:rFonts w:ascii="Segoe UI" w:hAnsi="Segoe UI" w:cs="Segoe UI"/>
      <w:sz w:val="18"/>
      <w:szCs w:val="18"/>
    </w:rPr>
  </w:style>
  <w:style w:type="paragraph" w:styleId="Odlomakpopisa">
    <w:name w:val="List Paragraph"/>
    <w:basedOn w:val="Normal"/>
    <w:uiPriority w:val="34"/>
    <w:qFormat/>
    <w:rsid w:val="0056094F"/>
    <w:pPr>
      <w:spacing w:before="0" w:after="160" w:line="259" w:lineRule="auto"/>
      <w:ind w:left="720"/>
      <w:contextualSpacing/>
    </w:pPr>
  </w:style>
  <w:style w:type="paragraph" w:styleId="Tekstfusnote">
    <w:name w:val="footnote text"/>
    <w:basedOn w:val="Normal"/>
    <w:link w:val="Tekstfusnote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TekstfusnoteChar">
    <w:name w:val="Tekst fusnote Char"/>
    <w:basedOn w:val="Zadanifontodlomka"/>
    <w:link w:val="Tekstfusnote"/>
    <w:uiPriority w:val="99"/>
    <w:rsid w:val="0056094F"/>
    <w:rPr>
      <w:rFonts w:ascii="Times New Roman" w:eastAsia="Times New Roman" w:hAnsi="Times New Roman" w:cs="Times New Roman"/>
      <w:sz w:val="20"/>
      <w:szCs w:val="20"/>
      <w:lang w:val="en-GB" w:eastAsia="lv-LV"/>
    </w:rPr>
  </w:style>
  <w:style w:type="character" w:styleId="Referencafusnote">
    <w:name w:val="footnote reference"/>
    <w:aliases w:val="Footnote Reference Number,Footnote symbol"/>
    <w:uiPriority w:val="99"/>
    <w:rsid w:val="0056094F"/>
    <w:rPr>
      <w:vertAlign w:val="superscript"/>
    </w:rPr>
  </w:style>
  <w:style w:type="paragraph" w:styleId="HTMLunaprijedoblikovano">
    <w:name w:val="HTML Preformatted"/>
    <w:basedOn w:val="Normal"/>
    <w:link w:val="HTMLunaprijedoblikovanoChar"/>
    <w:uiPriority w:val="99"/>
    <w:unhideWhenUsed/>
    <w:rsid w:val="0056094F"/>
    <w:pPr>
      <w:spacing w:before="0" w:after="0"/>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Zadanifontodlomka"/>
    <w:rsid w:val="00E41AAC"/>
  </w:style>
  <w:style w:type="paragraph" w:styleId="Bezproreda">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Zaglavlje">
    <w:name w:val="header"/>
    <w:basedOn w:val="Normal"/>
    <w:link w:val="ZaglavljeChar"/>
    <w:uiPriority w:val="99"/>
    <w:unhideWhenUsed/>
    <w:rsid w:val="00674BCD"/>
    <w:pPr>
      <w:tabs>
        <w:tab w:val="center" w:pos="4536"/>
        <w:tab w:val="right" w:pos="9072"/>
      </w:tabs>
      <w:spacing w:before="0" w:after="0"/>
    </w:pPr>
  </w:style>
  <w:style w:type="character" w:customStyle="1" w:styleId="ZaglavljeChar">
    <w:name w:val="Zaglavlje Char"/>
    <w:basedOn w:val="Zadanifontodlomka"/>
    <w:link w:val="Zaglavlje"/>
    <w:uiPriority w:val="99"/>
    <w:rsid w:val="00674BCD"/>
  </w:style>
  <w:style w:type="paragraph" w:styleId="Podnoje">
    <w:name w:val="footer"/>
    <w:basedOn w:val="Normal"/>
    <w:link w:val="PodnojeChar"/>
    <w:uiPriority w:val="99"/>
    <w:unhideWhenUsed/>
    <w:rsid w:val="00674BCD"/>
    <w:pPr>
      <w:tabs>
        <w:tab w:val="center" w:pos="4536"/>
        <w:tab w:val="right" w:pos="9072"/>
      </w:tabs>
      <w:spacing w:before="0" w:after="0"/>
    </w:pPr>
  </w:style>
  <w:style w:type="character" w:customStyle="1" w:styleId="PodnojeChar">
    <w:name w:val="Podnožje Char"/>
    <w:basedOn w:val="Zadanifontodlomka"/>
    <w:link w:val="Podnoje"/>
    <w:uiPriority w:val="99"/>
    <w:rsid w:val="00674BCD"/>
  </w:style>
  <w:style w:type="character" w:styleId="Istaknutareferenca">
    <w:name w:val="Intense Reference"/>
    <w:basedOn w:val="Zadanifontodlomka"/>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36AA5"/>
  </w:style>
  <w:style w:type="paragraph" w:styleId="Revizija">
    <w:name w:val="Revision"/>
    <w:hidden/>
    <w:uiPriority w:val="99"/>
    <w:semiHidden/>
    <w:rsid w:val="00CC392C"/>
    <w:pPr>
      <w:spacing w:before="0" w:after="0"/>
    </w:pPr>
  </w:style>
  <w:style w:type="numbering" w:customStyle="1" w:styleId="NoList1">
    <w:name w:val="No List1"/>
    <w:next w:val="Bezpopisa"/>
    <w:uiPriority w:val="99"/>
    <w:semiHidden/>
    <w:unhideWhenUsed/>
    <w:rsid w:val="00D0103E"/>
  </w:style>
  <w:style w:type="table" w:styleId="Reetkatablice">
    <w:name w:val="Table Grid"/>
    <w:basedOn w:val="Obinatablica"/>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95A8D"/>
    <w:rPr>
      <w:color w:val="0563C1" w:themeColor="hyperlink"/>
      <w:u w:val="single"/>
    </w:rPr>
  </w:style>
  <w:style w:type="character" w:styleId="Istaknuto">
    <w:name w:val="Emphasis"/>
    <w:basedOn w:val="Zadanifontodlomka"/>
    <w:uiPriority w:val="20"/>
    <w:qFormat/>
    <w:rsid w:val="00B30558"/>
    <w:rPr>
      <w:i/>
      <w:iCs/>
    </w:rPr>
  </w:style>
  <w:style w:type="paragraph" w:styleId="Standard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1F04-4202-4C0D-84EC-21C86FDD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10238</Words>
  <Characters>58363</Characters>
  <Application>Microsoft Office Word</Application>
  <DocSecurity>0</DocSecurity>
  <Lines>486</Lines>
  <Paragraphs>136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2022-04-07T09:43:00Z</dcterms:modified>
</cp:coreProperties>
</file>