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69" w:rsidRPr="002C372F" w:rsidRDefault="002B5F69" w:rsidP="00B410F4">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rsidR="002B5F69" w:rsidRDefault="002B5F69" w:rsidP="00B410F4">
      <w:pPr>
        <w:spacing w:before="120" w:after="120" w:line="240" w:lineRule="auto"/>
        <w:jc w:val="center"/>
        <w:rPr>
          <w:rFonts w:ascii="Gill Sans MT" w:eastAsia="Times New Roman" w:hAnsi="Gill Sans MT" w:cs="Times New Roman"/>
          <w:b/>
          <w:color w:val="FF0000"/>
          <w:sz w:val="28"/>
          <w:szCs w:val="28"/>
          <w:lang w:eastAsia="en-US"/>
        </w:rPr>
      </w:pPr>
    </w:p>
    <w:p w:rsidR="002B5F69"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p>
    <w:p w:rsidR="002B5F69"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p>
    <w:p w:rsidR="002B5F69" w:rsidRPr="00542801"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r w:rsidRPr="00542801">
        <w:rPr>
          <w:rFonts w:ascii="Gill Sans MT" w:eastAsia="Times New Roman" w:hAnsi="Gill Sans MT" w:cs="Times New Roman"/>
          <w:b/>
          <w:color w:val="FF0000"/>
          <w:sz w:val="24"/>
          <w:szCs w:val="24"/>
          <w:lang w:eastAsia="en-US"/>
        </w:rPr>
        <w:t>SAŽETAK POZIVA</w:t>
      </w:r>
    </w:p>
    <w:p w:rsidR="002B5F69" w:rsidRPr="006D1079" w:rsidRDefault="002B5F69" w:rsidP="00B410F4">
      <w:pPr>
        <w:spacing w:before="120" w:after="120" w:line="240" w:lineRule="auto"/>
        <w:rPr>
          <w:rFonts w:ascii="Gill Sans MT" w:eastAsia="PMingLiU" w:hAnsi="Gill Sans MT" w:cs="Times New Roman"/>
          <w:sz w:val="28"/>
          <w:szCs w:val="28"/>
          <w:lang w:eastAsia="zh-CN"/>
        </w:rPr>
      </w:pPr>
    </w:p>
    <w:p w:rsidR="002B5F69" w:rsidRPr="00542801" w:rsidRDefault="002B5F69" w:rsidP="00B410F4">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rsidR="002B5F69" w:rsidRPr="00542801" w:rsidRDefault="002B5F69" w:rsidP="00B410F4">
      <w:pPr>
        <w:spacing w:after="0" w:line="240" w:lineRule="auto"/>
        <w:jc w:val="center"/>
        <w:rPr>
          <w:rFonts w:ascii="Gill Sans MT" w:eastAsia="Calibri" w:hAnsi="Gill Sans MT" w:cs="Times New Roman"/>
          <w:b/>
          <w:color w:val="000000"/>
          <w:sz w:val="24"/>
          <w:szCs w:val="24"/>
          <w:lang w:eastAsia="en-US"/>
        </w:rPr>
      </w:pPr>
      <w:r w:rsidRPr="00542801">
        <w:rPr>
          <w:rFonts w:ascii="Gill Sans MT" w:eastAsia="Calibri" w:hAnsi="Gill Sans MT" w:cs="Times New Roman"/>
          <w:b/>
          <w:color w:val="000000"/>
          <w:sz w:val="24"/>
          <w:szCs w:val="24"/>
          <w:lang w:eastAsia="en-US"/>
        </w:rPr>
        <w:t>Izgradnja i opremanje postrojenja za biološku obradu odvojeno sakupljenog biootpada</w:t>
      </w:r>
      <w:r>
        <w:rPr>
          <w:rFonts w:ascii="Gill Sans MT" w:eastAsia="Calibri" w:hAnsi="Gill Sans MT" w:cs="Times New Roman"/>
          <w:b/>
          <w:color w:val="000000"/>
          <w:sz w:val="24"/>
          <w:szCs w:val="24"/>
          <w:lang w:eastAsia="en-US"/>
        </w:rPr>
        <w:t xml:space="preserve"> </w:t>
      </w:r>
      <w:r w:rsidRPr="00542801">
        <w:rPr>
          <w:rFonts w:ascii="Gill Sans MT" w:eastAsia="Calibri" w:hAnsi="Gill Sans MT" w:cs="Times New Roman"/>
          <w:b/>
          <w:color w:val="000000"/>
          <w:sz w:val="24"/>
          <w:szCs w:val="24"/>
          <w:lang w:eastAsia="en-US"/>
        </w:rPr>
        <w:t xml:space="preserve"> </w:t>
      </w:r>
    </w:p>
    <w:p w:rsidR="002B5F69" w:rsidRPr="00542801" w:rsidRDefault="002B5F69" w:rsidP="00B410F4">
      <w:pPr>
        <w:spacing w:after="0" w:line="240" w:lineRule="auto"/>
        <w:jc w:val="center"/>
        <w:rPr>
          <w:rFonts w:ascii="Gill Sans MT" w:eastAsia="Times New Roman" w:hAnsi="Gill Sans MT" w:cs="Times New Roman"/>
          <w:b/>
          <w:sz w:val="24"/>
          <w:szCs w:val="24"/>
          <w:lang w:eastAsia="en-US"/>
        </w:rPr>
      </w:pPr>
    </w:p>
    <w:p w:rsidR="001000F9" w:rsidRPr="001000F9" w:rsidRDefault="001000F9" w:rsidP="00B410F4">
      <w:pPr>
        <w:spacing w:after="0" w:line="240" w:lineRule="auto"/>
        <w:jc w:val="center"/>
        <w:rPr>
          <w:rFonts w:ascii="Gill Sans MT" w:eastAsia="Calibri" w:hAnsi="Gill Sans MT" w:cs="Times New Roman"/>
          <w:b/>
          <w:color w:val="0070C0"/>
          <w:sz w:val="24"/>
          <w:szCs w:val="24"/>
          <w:lang w:eastAsia="en-US"/>
        </w:rPr>
      </w:pPr>
      <w:r w:rsidRPr="001000F9">
        <w:rPr>
          <w:rFonts w:ascii="Gill Sans MT" w:eastAsia="Times New Roman" w:hAnsi="Gill Sans MT" w:cs="Times New Roman"/>
          <w:b/>
          <w:sz w:val="24"/>
          <w:szCs w:val="24"/>
          <w:lang w:eastAsia="en-US"/>
        </w:rPr>
        <w:t>(</w:t>
      </w:r>
      <w:r w:rsidRPr="001000F9">
        <w:rPr>
          <w:rFonts w:ascii="Gill Sans MT" w:eastAsia="Times New Roman" w:hAnsi="Gill Sans MT" w:cs="Times New Roman"/>
          <w:b/>
          <w:i/>
          <w:sz w:val="24"/>
          <w:szCs w:val="24"/>
          <w:lang w:eastAsia="en-US"/>
        </w:rPr>
        <w:t>Kod poziva: NPOO.C1.3.R2-I1.01)</w:t>
      </w:r>
    </w:p>
    <w:p w:rsidR="002B5F69" w:rsidRPr="00542801" w:rsidRDefault="002B5F69" w:rsidP="00B410F4">
      <w:pPr>
        <w:spacing w:after="0" w:line="240" w:lineRule="auto"/>
        <w:rPr>
          <w:rFonts w:ascii="Gill Sans MT" w:eastAsia="Times New Roman" w:hAnsi="Gill Sans MT" w:cs="Times New Roman"/>
          <w:b/>
          <w:i/>
          <w:sz w:val="24"/>
          <w:szCs w:val="24"/>
          <w:lang w:eastAsia="en-US"/>
        </w:rPr>
      </w:pPr>
    </w:p>
    <w:p w:rsidR="002B5F69" w:rsidRPr="00542801" w:rsidRDefault="002B5F69" w:rsidP="00B410F4">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rsidR="002B5F69" w:rsidRPr="006D1079" w:rsidRDefault="002B5F69" w:rsidP="00B410F4">
      <w:pPr>
        <w:spacing w:before="120" w:after="120" w:line="240" w:lineRule="auto"/>
        <w:jc w:val="center"/>
        <w:rPr>
          <w:rFonts w:ascii="Gill Sans MT" w:eastAsia="Times New Roman" w:hAnsi="Gill Sans MT" w:cs="Times New Roman"/>
          <w:b/>
          <w:sz w:val="28"/>
          <w:szCs w:val="28"/>
          <w:lang w:eastAsia="en-US"/>
        </w:rPr>
      </w:pPr>
    </w:p>
    <w:p w:rsidR="002B5F69" w:rsidRDefault="002B5F69" w:rsidP="00B410F4">
      <w:pPr>
        <w:spacing w:line="240" w:lineRule="auto"/>
        <w:jc w:val="center"/>
      </w:pPr>
    </w:p>
    <w:p w:rsidR="002B5F69" w:rsidRDefault="002B5F69" w:rsidP="00B410F4">
      <w:pPr>
        <w:spacing w:line="240" w:lineRule="auto"/>
      </w:pPr>
    </w:p>
    <w:p w:rsidR="002B5F69" w:rsidRDefault="002B5F69" w:rsidP="00B410F4">
      <w:pPr>
        <w:spacing w:line="240" w:lineRule="auto"/>
      </w:pPr>
    </w:p>
    <w:p w:rsidR="002B5F69" w:rsidRDefault="002B5F69" w:rsidP="00B410F4">
      <w:pPr>
        <w:spacing w:line="240" w:lineRule="auto"/>
      </w:pPr>
    </w:p>
    <w:p w:rsidR="002B5F69" w:rsidRDefault="002B5F69" w:rsidP="00B410F4">
      <w:pPr>
        <w:spacing w:line="240" w:lineRule="auto"/>
        <w:jc w:val="center"/>
      </w:pPr>
    </w:p>
    <w:p w:rsidR="002B5F69" w:rsidRDefault="002B5F69" w:rsidP="00B410F4">
      <w:pPr>
        <w:spacing w:line="240" w:lineRule="auto"/>
        <w:jc w:val="center"/>
      </w:pPr>
    </w:p>
    <w:p w:rsidR="002B5F69" w:rsidRPr="00845593" w:rsidRDefault="002B5F69" w:rsidP="00B410F4">
      <w:pPr>
        <w:spacing w:line="240" w:lineRule="auto"/>
        <w:jc w:val="center"/>
      </w:pPr>
    </w:p>
    <w:p w:rsidR="002B5F69" w:rsidRPr="008F0FA4" w:rsidRDefault="002B5F69" w:rsidP="00B410F4">
      <w:pPr>
        <w:spacing w:line="240" w:lineRule="auto"/>
        <w:rPr>
          <w:lang w:val="it-IT" w:eastAsia="ar-SA"/>
        </w:rPr>
      </w:pPr>
    </w:p>
    <w:p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noProof/>
          <w:color w:val="1F497D"/>
        </w:rPr>
        <w:drawing>
          <wp:inline distT="0" distB="0" distL="0" distR="0" wp14:anchorId="0A48A272" wp14:editId="1F8CA00B">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sz w:val="28"/>
          <w:szCs w:val="28"/>
        </w:rPr>
        <w:t>Ministarstvo gospodarstva i održivog razvoja</w:t>
      </w:r>
    </w:p>
    <w:p w:rsidR="00CF2222" w:rsidRDefault="00CF2222"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2B5F69" w:rsidRDefault="002B5F69" w:rsidP="00B410F4">
      <w:pPr>
        <w:spacing w:after="0" w:line="240" w:lineRule="auto"/>
        <w:rPr>
          <w:lang w:eastAsia="en-US"/>
        </w:rPr>
      </w:pPr>
    </w:p>
    <w:p w:rsidR="00B410F4" w:rsidRDefault="00B410F4">
      <w:pPr>
        <w:rPr>
          <w:lang w:eastAsia="en-US"/>
        </w:rPr>
      </w:pPr>
      <w:r>
        <w:rPr>
          <w:lang w:eastAsia="en-US"/>
        </w:rPr>
        <w:br w:type="page"/>
      </w:r>
    </w:p>
    <w:p w:rsidR="00542801" w:rsidRPr="006D4001"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Predmet Poziva</w:t>
      </w:r>
    </w:p>
    <w:p w:rsidR="00542801" w:rsidRDefault="00A21141" w:rsidP="00B410F4">
      <w:pPr>
        <w:spacing w:after="120" w:line="240" w:lineRule="auto"/>
        <w:jc w:val="both"/>
        <w:rPr>
          <w:rFonts w:ascii="Gill Sans MT" w:eastAsia="Calibri" w:hAnsi="Gill Sans MT" w:cs="Times New Roman"/>
          <w:bCs/>
          <w:color w:val="000000"/>
          <w:sz w:val="24"/>
          <w:szCs w:val="24"/>
          <w:lang w:eastAsia="en-US"/>
        </w:rPr>
      </w:pPr>
      <w:r w:rsidRPr="00A21141">
        <w:rPr>
          <w:rFonts w:ascii="Gill Sans MT" w:eastAsia="Calibri" w:hAnsi="Gill Sans MT" w:cs="Times New Roman"/>
          <w:bCs/>
          <w:color w:val="000000"/>
          <w:sz w:val="24"/>
          <w:szCs w:val="24"/>
          <w:lang w:eastAsia="en-US"/>
        </w:rPr>
        <w:t xml:space="preserve">Predmet poziva je povećati kapacitete RH za biološku obradu odvojeno sakupljenog biootpada radi usklađenja s ciljem EU da se do 2025. najmanje 55% mase komunalnog otpada oporabi recikliranjem i pripremom za ponovnu uporabu te da se do 2035. smanji količina otpada koji se odlaže na odlagališta na 10%. </w:t>
      </w:r>
    </w:p>
    <w:p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Svrha (cilj) Poziva</w:t>
      </w:r>
      <w:r w:rsidRPr="00542801">
        <w:rPr>
          <w:rStyle w:val="Bodytext2"/>
          <w:rFonts w:ascii="Gill Sans MT" w:eastAsiaTheme="minorHAnsi" w:hAnsi="Gill Sans MT"/>
          <w:sz w:val="24"/>
          <w:szCs w:val="24"/>
          <w:u w:val="single"/>
          <w:lang w:val="hr-HR"/>
        </w:rPr>
        <w:t xml:space="preserve"> </w:t>
      </w:r>
    </w:p>
    <w:p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Cilj ovog Poziva je podržati uspostavu postrojenja za biološku obradu odvojeno sakupljenog biootpada </w:t>
      </w:r>
      <w:proofErr w:type="spellStart"/>
      <w:r w:rsidRPr="006A7DD9">
        <w:rPr>
          <w:rFonts w:ascii="Gill Sans MT" w:eastAsia="Calibri" w:hAnsi="Gill Sans MT" w:cs="Times New Roman"/>
          <w:bCs/>
          <w:color w:val="000000"/>
          <w:sz w:val="24"/>
          <w:szCs w:val="24"/>
          <w:lang w:eastAsia="en-US"/>
        </w:rPr>
        <w:t>kompostiranjem</w:t>
      </w:r>
      <w:proofErr w:type="spellEnd"/>
      <w:r w:rsidRPr="006A7DD9">
        <w:rPr>
          <w:rFonts w:ascii="Gill Sans MT" w:eastAsia="Calibri" w:hAnsi="Gill Sans MT" w:cs="Times New Roman"/>
          <w:bCs/>
          <w:color w:val="000000"/>
          <w:sz w:val="24"/>
          <w:szCs w:val="24"/>
          <w:lang w:eastAsia="en-US"/>
        </w:rPr>
        <w:t xml:space="preserve"> ili anaerobnom digestijom. </w:t>
      </w:r>
    </w:p>
    <w:p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U okviru ovog Poziva bespovratna sredstava (državne potpore) će se dodijeliti projektima za ulaganje u: </w:t>
      </w:r>
    </w:p>
    <w:p w:rsidR="006A7DD9" w:rsidRPr="006A7DD9" w:rsidRDefault="006A7DD9" w:rsidP="00B410F4">
      <w:pPr>
        <w:spacing w:after="120" w:line="240" w:lineRule="auto"/>
        <w:ind w:left="284" w:hanging="284"/>
        <w:jc w:val="both"/>
        <w:rPr>
          <w:rFonts w:ascii="Gill Sans MT" w:eastAsia="Times New Roman" w:hAnsi="Gill Sans MT" w:cs="Times New Roman"/>
          <w:sz w:val="24"/>
          <w:szCs w:val="18"/>
          <w:highlight w:val="cyan"/>
        </w:rPr>
      </w:pPr>
      <w:bookmarkStart w:id="0" w:name="_Hlk26261559"/>
      <w:r w:rsidRPr="006A7DD9">
        <w:rPr>
          <w:rFonts w:ascii="Gill Sans MT" w:eastAsia="Times New Roman" w:hAnsi="Gill Sans MT" w:cs="Times New Roman"/>
          <w:sz w:val="24"/>
          <w:szCs w:val="18"/>
        </w:rPr>
        <w:t xml:space="preserve">A) Izgradnju, nadogradnju i/ili opremanje </w:t>
      </w:r>
      <w:r w:rsidRPr="006A7DD9">
        <w:rPr>
          <w:rFonts w:ascii="Gill Sans MT" w:eastAsia="Times New Roman" w:hAnsi="Gill Sans MT" w:cs="Times New Roman"/>
          <w:b/>
          <w:sz w:val="24"/>
          <w:szCs w:val="18"/>
        </w:rPr>
        <w:t>postrojenja</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za recikliranje</w:t>
      </w:r>
      <w:r w:rsidRPr="006A7DD9">
        <w:rPr>
          <w:rFonts w:ascii="Gill Sans MT" w:eastAsia="Times New Roman" w:hAnsi="Gill Sans MT" w:cs="Times New Roman"/>
          <w:sz w:val="24"/>
          <w:szCs w:val="18"/>
        </w:rPr>
        <w:t xml:space="preserve"> odvojeno sakupljenog biootpada</w:t>
      </w:r>
      <w:bookmarkEnd w:id="0"/>
      <w:r w:rsidRPr="006A7DD9">
        <w:rPr>
          <w:rFonts w:ascii="Gill Sans MT" w:eastAsia="Times New Roman" w:hAnsi="Gill Sans MT" w:cs="Times New Roman"/>
          <w:sz w:val="24"/>
          <w:szCs w:val="18"/>
        </w:rPr>
        <w:t xml:space="preserve"> (u daljnjem tekstu: postrojenja za recikliranje) u svrhu uspostave novih ili povećanja postojećih kapaciteta za oporabu biootpada, u kojima se provodi tehnološki proces </w:t>
      </w:r>
      <w:proofErr w:type="spellStart"/>
      <w:r w:rsidRPr="006A7DD9">
        <w:rPr>
          <w:rFonts w:ascii="Gill Sans MT" w:eastAsia="Times New Roman" w:hAnsi="Gill Sans MT" w:cs="Times New Roman"/>
          <w:sz w:val="24"/>
          <w:szCs w:val="18"/>
        </w:rPr>
        <w:t>kompostiranja</w:t>
      </w:r>
      <w:proofErr w:type="spellEnd"/>
      <w:r w:rsidRPr="006A7DD9">
        <w:rPr>
          <w:rFonts w:ascii="Gill Sans MT" w:eastAsia="Times New Roman" w:hAnsi="Gill Sans MT" w:cs="Times New Roman"/>
          <w:sz w:val="24"/>
          <w:szCs w:val="18"/>
        </w:rPr>
        <w:t xml:space="preserve"> s ciljem proizvodnje komposta. </w:t>
      </w:r>
    </w:p>
    <w:p w:rsidR="006A7DD9" w:rsidRPr="006A7DD9" w:rsidRDefault="006A6150" w:rsidP="00B410F4">
      <w:pPr>
        <w:spacing w:after="120" w:line="240" w:lineRule="auto"/>
        <w:ind w:left="284" w:hanging="284"/>
        <w:jc w:val="both"/>
        <w:rPr>
          <w:rFonts w:ascii="Gill Sans MT" w:eastAsia="Times New Roman" w:hAnsi="Gill Sans MT" w:cs="Times New Roman"/>
          <w:b/>
          <w:sz w:val="24"/>
          <w:szCs w:val="18"/>
        </w:rPr>
      </w:pPr>
      <w:r>
        <w:rPr>
          <w:rFonts w:ascii="Gill Sans MT" w:eastAsia="Times New Roman" w:hAnsi="Gill Sans MT" w:cs="Times New Roman"/>
          <w:b/>
          <w:sz w:val="24"/>
          <w:szCs w:val="18"/>
        </w:rPr>
        <w:t xml:space="preserve">    </w:t>
      </w:r>
      <w:r w:rsidR="006A7DD9" w:rsidRPr="006A7DD9">
        <w:rPr>
          <w:rFonts w:ascii="Gill Sans MT" w:eastAsia="Times New Roman" w:hAnsi="Gill Sans MT" w:cs="Times New Roman"/>
          <w:b/>
          <w:sz w:val="24"/>
          <w:szCs w:val="18"/>
        </w:rPr>
        <w:t xml:space="preserve">ILI </w:t>
      </w:r>
    </w:p>
    <w:p w:rsidR="00CF2222" w:rsidRPr="006A7DD9" w:rsidRDefault="006A7DD9" w:rsidP="00B410F4">
      <w:pPr>
        <w:spacing w:after="120" w:line="240" w:lineRule="auto"/>
        <w:ind w:left="284" w:hanging="284"/>
        <w:jc w:val="both"/>
        <w:rPr>
          <w:rFonts w:ascii="Gill Sans MT" w:eastAsia="Times New Roman" w:hAnsi="Gill Sans MT" w:cs="Times New Roman"/>
          <w:sz w:val="24"/>
          <w:szCs w:val="18"/>
        </w:rPr>
      </w:pPr>
      <w:r w:rsidRPr="006A7DD9">
        <w:rPr>
          <w:rFonts w:ascii="Gill Sans MT" w:eastAsia="Times New Roman" w:hAnsi="Gill Sans MT" w:cs="Times New Roman"/>
          <w:sz w:val="24"/>
          <w:szCs w:val="18"/>
        </w:rPr>
        <w:t xml:space="preserve">B) izgradnju i opremanje </w:t>
      </w:r>
      <w:r w:rsidRPr="006A7DD9">
        <w:rPr>
          <w:rFonts w:ascii="Gill Sans MT" w:eastAsia="Times New Roman" w:hAnsi="Gill Sans MT" w:cs="Times New Roman"/>
          <w:b/>
          <w:sz w:val="24"/>
          <w:szCs w:val="18"/>
        </w:rPr>
        <w:t>novih</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postrojenja za proizvodnju energije iz OIE</w:t>
      </w:r>
      <w:r w:rsidR="00B339F9"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sz w:val="24"/>
          <w:szCs w:val="18"/>
        </w:rPr>
        <w:t>(u daljnjem tekstu: postrojenja za proizvodnju OIE)</w:t>
      </w:r>
      <w:r w:rsidRPr="006A7DD9">
        <w:rPr>
          <w:rFonts w:ascii="Times New Roman" w:eastAsia="Times New Roman" w:hAnsi="Times New Roman" w:cs="Times New Roman"/>
          <w:sz w:val="24"/>
          <w:szCs w:val="24"/>
        </w:rPr>
        <w:t xml:space="preserve"> </w:t>
      </w:r>
      <w:r w:rsidRPr="006A7DD9">
        <w:rPr>
          <w:rFonts w:ascii="Gill Sans MT" w:eastAsia="Times New Roman" w:hAnsi="Gill Sans MT" w:cs="Times New Roman"/>
          <w:sz w:val="24"/>
          <w:szCs w:val="18"/>
        </w:rPr>
        <w:t>u svrhu uspostave kapaciteta za oporabu biootpada,</w:t>
      </w:r>
      <w:r w:rsidRPr="006A7DD9">
        <w:rPr>
          <w:rFonts w:ascii="Gill Sans MT" w:eastAsia="Times New Roman" w:hAnsi="Gill Sans MT" w:cs="Times New Roman"/>
          <w:b/>
          <w:sz w:val="24"/>
          <w:szCs w:val="18"/>
        </w:rPr>
        <w:t xml:space="preserve"> </w:t>
      </w:r>
      <w:r w:rsidRPr="006A7DD9">
        <w:rPr>
          <w:rFonts w:ascii="Gill Sans MT" w:eastAsia="Times New Roman" w:hAnsi="Gill Sans MT" w:cs="Times New Roman"/>
          <w:sz w:val="24"/>
          <w:szCs w:val="18"/>
        </w:rPr>
        <w:t>u kojima se provodi tehnološki proces anaerobne digestije</w:t>
      </w:r>
      <w:r w:rsidRPr="006A7DD9">
        <w:rPr>
          <w:rFonts w:ascii="Times New Roman" w:eastAsia="Times New Roman" w:hAnsi="Times New Roman" w:cs="Times New Roman"/>
          <w:sz w:val="24"/>
          <w:szCs w:val="18"/>
        </w:rPr>
        <w:t xml:space="preserve"> </w:t>
      </w:r>
      <w:r w:rsidRPr="006A7DD9">
        <w:rPr>
          <w:rFonts w:ascii="Gill Sans MT" w:eastAsia="Times New Roman" w:hAnsi="Gill Sans MT" w:cs="Times New Roman"/>
          <w:sz w:val="24"/>
          <w:szCs w:val="18"/>
        </w:rPr>
        <w:t xml:space="preserve">s ciljem proizvodnje anaerobnog </w:t>
      </w:r>
      <w:proofErr w:type="spellStart"/>
      <w:r w:rsidRPr="006A7DD9">
        <w:rPr>
          <w:rFonts w:ascii="Gill Sans MT" w:eastAsia="Times New Roman" w:hAnsi="Gill Sans MT" w:cs="Times New Roman"/>
          <w:sz w:val="24"/>
          <w:szCs w:val="18"/>
        </w:rPr>
        <w:t>digestata</w:t>
      </w:r>
      <w:proofErr w:type="spellEnd"/>
      <w:r w:rsidRPr="006A7DD9">
        <w:rPr>
          <w:rFonts w:ascii="Gill Sans MT" w:eastAsia="Times New Roman" w:hAnsi="Gill Sans MT" w:cs="Times New Roman"/>
          <w:sz w:val="24"/>
          <w:szCs w:val="18"/>
        </w:rPr>
        <w:t xml:space="preserve">  i bioplina,  odnosno </w:t>
      </w:r>
      <w:proofErr w:type="spellStart"/>
      <w:r w:rsidRPr="006A7DD9">
        <w:rPr>
          <w:rFonts w:ascii="Gill Sans MT" w:eastAsia="Times New Roman" w:hAnsi="Gill Sans MT" w:cs="Times New Roman"/>
          <w:sz w:val="24"/>
          <w:szCs w:val="18"/>
        </w:rPr>
        <w:t>biogoriva</w:t>
      </w:r>
      <w:proofErr w:type="spellEnd"/>
      <w:r w:rsidRPr="006A7DD9">
        <w:rPr>
          <w:rFonts w:ascii="Gill Sans MT" w:eastAsia="Times New Roman" w:hAnsi="Gill Sans MT" w:cs="Times New Roman"/>
          <w:sz w:val="24"/>
          <w:szCs w:val="18"/>
        </w:rPr>
        <w:t xml:space="preserve">. </w:t>
      </w:r>
    </w:p>
    <w:p w:rsidR="00CF2222" w:rsidRDefault="00E46103" w:rsidP="00B410F4">
      <w:pPr>
        <w:spacing w:after="120" w:line="240" w:lineRule="auto"/>
        <w:jc w:val="both"/>
        <w:rPr>
          <w:rFonts w:ascii="Gill Sans MT" w:eastAsia="Times New Roman" w:hAnsi="Gill Sans MT" w:cs="Times New Roman"/>
          <w:sz w:val="24"/>
          <w:szCs w:val="24"/>
        </w:rPr>
      </w:pPr>
      <w:r w:rsidRPr="00E46103">
        <w:rPr>
          <w:rFonts w:ascii="Gill Sans MT" w:eastAsia="Times New Roman" w:hAnsi="Gill Sans MT" w:cs="Times New Roman"/>
          <w:sz w:val="24"/>
          <w:szCs w:val="24"/>
        </w:rPr>
        <w:t>Za postrojenja za recikliranje dodjeljuju se potpore za ulaganje u recikliranje i ponovno uporabu otpada iz članka 9.</w:t>
      </w:r>
      <w:r>
        <w:rPr>
          <w:rFonts w:ascii="Gill Sans MT" w:eastAsia="Times New Roman" w:hAnsi="Gill Sans MT" w:cs="Times New Roman"/>
          <w:sz w:val="24"/>
          <w:szCs w:val="24"/>
        </w:rPr>
        <w:t>, a z</w:t>
      </w:r>
      <w:r w:rsidRPr="00E46103">
        <w:rPr>
          <w:rFonts w:ascii="Gill Sans MT" w:eastAsia="Times New Roman" w:hAnsi="Gill Sans MT" w:cs="Times New Roman"/>
          <w:sz w:val="24"/>
          <w:szCs w:val="24"/>
        </w:rPr>
        <w:t xml:space="preserve">a postrojenja za proizvodnju OIE dodjeljuju se potpore za ulaganje u promicanje energije iz obnovljivih izvora energije iz članka 10. </w:t>
      </w:r>
      <w:r w:rsidR="00B339F9">
        <w:rPr>
          <w:rFonts w:ascii="Gill Sans MT" w:eastAsia="Times New Roman" w:hAnsi="Gill Sans MT" w:cs="Times New Roman"/>
          <w:sz w:val="24"/>
          <w:szCs w:val="24"/>
        </w:rPr>
        <w:t xml:space="preserve">Drugih izmjena </w:t>
      </w:r>
      <w:r w:rsidRPr="00E46103">
        <w:rPr>
          <w:rFonts w:ascii="Gill Sans MT" w:eastAsia="Times New Roman" w:hAnsi="Gill Sans MT" w:cs="Times New Roman"/>
          <w:sz w:val="24"/>
          <w:szCs w:val="24"/>
        </w:rPr>
        <w:t>Programa dodjele državnih potpora</w:t>
      </w:r>
      <w:r w:rsidR="006A6150">
        <w:rPr>
          <w:rFonts w:ascii="Gill Sans MT" w:eastAsia="Times New Roman" w:hAnsi="Gill Sans MT" w:cs="Times New Roman"/>
          <w:sz w:val="24"/>
          <w:szCs w:val="24"/>
        </w:rPr>
        <w:t xml:space="preserve"> za ulaganja u postrojenja za biološku obradu otpada</w:t>
      </w:r>
      <w:r>
        <w:rPr>
          <w:rFonts w:ascii="Gill Sans MT" w:eastAsia="Times New Roman" w:hAnsi="Gill Sans MT" w:cs="Times New Roman"/>
          <w:sz w:val="24"/>
          <w:szCs w:val="24"/>
        </w:rPr>
        <w:t>.</w:t>
      </w:r>
    </w:p>
    <w:p w:rsidR="00CF2222" w:rsidRPr="001A5364" w:rsidRDefault="006A6150" w:rsidP="00B410F4">
      <w:pPr>
        <w:tabs>
          <w:tab w:val="center" w:pos="4320"/>
          <w:tab w:val="right" w:pos="8640"/>
        </w:tabs>
        <w:spacing w:after="0" w:line="240" w:lineRule="auto"/>
        <w:jc w:val="both"/>
        <w:rPr>
          <w:rStyle w:val="Naslov5Char"/>
          <w:rFonts w:ascii="Gill Sans MT" w:eastAsia="Calibri" w:hAnsi="Gill Sans MT" w:cs="Times New Roman"/>
          <w:bCs/>
          <w:color w:val="000000"/>
          <w:sz w:val="24"/>
          <w:szCs w:val="24"/>
        </w:rPr>
      </w:pPr>
      <w:r w:rsidRPr="006A6150">
        <w:rPr>
          <w:rFonts w:ascii="Gill Sans MT" w:eastAsia="Calibri" w:hAnsi="Gill Sans MT" w:cs="Times New Roman"/>
          <w:bCs/>
          <w:color w:val="000000"/>
          <w:sz w:val="24"/>
          <w:szCs w:val="24"/>
        </w:rPr>
        <w:t>U sklopu ovog Poziva potpora će se dodijeliti za ulaganje u postrojenja za obradu biootpada iz točke A. ili iz točke B., u kojima će se tijekom 5 godina od završnog plaćanja Korisniku po Ugovoru o dodjeli bespovratnih sredstava koristiti biootpad koji je proizveden isključivo na pod</w:t>
      </w:r>
      <w:r w:rsidR="00B339F9">
        <w:rPr>
          <w:rFonts w:ascii="Gill Sans MT" w:eastAsia="Calibri" w:hAnsi="Gill Sans MT" w:cs="Times New Roman"/>
          <w:bCs/>
          <w:color w:val="000000"/>
          <w:sz w:val="24"/>
          <w:szCs w:val="24"/>
        </w:rPr>
        <w:t>ručju RH,</w:t>
      </w:r>
      <w:r w:rsidRPr="006A6150">
        <w:rPr>
          <w:rFonts w:ascii="Gill Sans MT" w:eastAsia="Calibri" w:hAnsi="Gill Sans MT" w:cs="Times New Roman"/>
          <w:bCs/>
          <w:color w:val="000000"/>
          <w:sz w:val="24"/>
          <w:szCs w:val="24"/>
        </w:rPr>
        <w:t xml:space="preserve"> odnosno kako je on definiran u članku 4. stavku 1., točki 3. </w:t>
      </w:r>
      <w:r>
        <w:rPr>
          <w:rFonts w:ascii="Gill Sans MT" w:eastAsia="Calibri" w:hAnsi="Gill Sans MT" w:cs="Times New Roman"/>
          <w:bCs/>
          <w:color w:val="000000"/>
          <w:sz w:val="24"/>
          <w:szCs w:val="24"/>
        </w:rPr>
        <w:t>Zakona o gospodarenju otpadom (NN 84/21)</w:t>
      </w:r>
      <w:r w:rsidR="006D4001">
        <w:rPr>
          <w:rFonts w:ascii="Gill Sans MT" w:eastAsia="Calibri" w:hAnsi="Gill Sans MT" w:cs="Times New Roman"/>
          <w:bCs/>
          <w:color w:val="000000"/>
          <w:sz w:val="24"/>
          <w:szCs w:val="24"/>
        </w:rPr>
        <w:t>,</w:t>
      </w:r>
      <w:r w:rsidRPr="006A6150">
        <w:rPr>
          <w:rFonts w:ascii="Gill Sans MT" w:eastAsia="Calibri" w:hAnsi="Gill Sans MT" w:cs="Times New Roman"/>
          <w:bCs/>
          <w:color w:val="000000"/>
          <w:sz w:val="24"/>
          <w:szCs w:val="24"/>
        </w:rPr>
        <w:t xml:space="preserve"> koji je biološki razgradiv otpad iz vrtova i parkova, hrana i kuhinjski otpad iz kućanstava, restorana, ugostiteljskih i maloprodajnih objekata i slični otpad iz prehrambene industrije.</w:t>
      </w:r>
    </w:p>
    <w:p w:rsidR="00CF2222" w:rsidRDefault="00CF2222" w:rsidP="00B410F4">
      <w:pPr>
        <w:tabs>
          <w:tab w:val="center" w:pos="4320"/>
          <w:tab w:val="right" w:pos="8640"/>
        </w:tabs>
        <w:spacing w:after="0" w:line="240" w:lineRule="auto"/>
        <w:jc w:val="both"/>
        <w:rPr>
          <w:rStyle w:val="Naslov5Char"/>
          <w:rFonts w:ascii="Gill Sans MT" w:eastAsia="Times New Roman" w:hAnsi="Gill Sans MT" w:cs="Times New Roman"/>
          <w:b/>
          <w:bCs/>
          <w:sz w:val="24"/>
          <w:szCs w:val="24"/>
          <w:lang w:eastAsia="ar-SA"/>
        </w:rPr>
      </w:pPr>
    </w:p>
    <w:p w:rsidR="00542801" w:rsidRPr="00AA053D"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rsidR="00E232A5" w:rsidRDefault="00542801" w:rsidP="00B410F4">
      <w:pPr>
        <w:pStyle w:val="Bezproreda"/>
        <w:jc w:val="both"/>
        <w:rPr>
          <w:rFonts w:ascii="Gill Sans MT" w:hAnsi="Gill Sans MT" w:cs="Times New Roman"/>
          <w:sz w:val="24"/>
          <w:szCs w:val="24"/>
        </w:rPr>
      </w:pPr>
      <w:r w:rsidRPr="00542801">
        <w:rPr>
          <w:rFonts w:ascii="Gill Sans MT" w:eastAsia="Calibri" w:hAnsi="Gill Sans MT" w:cs="Times New Roman"/>
          <w:sz w:val="24"/>
          <w:szCs w:val="24"/>
          <w:lang w:eastAsia="lt-LT"/>
        </w:rPr>
        <w:t>Ukupan raspoloživ iznos bespovrat</w:t>
      </w:r>
      <w:r w:rsidR="00A21141">
        <w:rPr>
          <w:rFonts w:ascii="Gill Sans MT" w:eastAsia="Calibri" w:hAnsi="Gill Sans MT" w:cs="Times New Roman"/>
          <w:sz w:val="24"/>
          <w:szCs w:val="24"/>
          <w:lang w:eastAsia="lt-LT"/>
        </w:rPr>
        <w:t>nih sredstava za dodjelu iz NPOO-a</w:t>
      </w:r>
      <w:r w:rsidRPr="00542801">
        <w:rPr>
          <w:rFonts w:ascii="Gill Sans MT" w:eastAsia="Calibri" w:hAnsi="Gill Sans MT" w:cs="Times New Roman"/>
          <w:sz w:val="24"/>
          <w:szCs w:val="24"/>
          <w:lang w:eastAsia="lt-LT"/>
        </w:rPr>
        <w:t xml:space="preserve"> u okviru ovog Poziva je </w:t>
      </w:r>
      <w:r w:rsidR="00A21141">
        <w:rPr>
          <w:rFonts w:ascii="Gill Sans MT" w:hAnsi="Gill Sans MT" w:cs="Times New Roman"/>
          <w:b/>
          <w:sz w:val="24"/>
          <w:szCs w:val="24"/>
        </w:rPr>
        <w:t>354</w:t>
      </w:r>
      <w:r w:rsidRPr="00AC2FE7">
        <w:rPr>
          <w:rFonts w:ascii="Gill Sans MT" w:hAnsi="Gill Sans MT" w:cs="Times New Roman"/>
          <w:b/>
          <w:sz w:val="24"/>
          <w:szCs w:val="24"/>
        </w:rPr>
        <w:t>.000.000,00</w:t>
      </w:r>
      <w:r w:rsidRPr="00AC2FE7">
        <w:rPr>
          <w:rFonts w:ascii="Gill Sans MT" w:hAnsi="Gill Sans MT" w:cs="Times New Roman"/>
          <w:sz w:val="24"/>
          <w:szCs w:val="24"/>
        </w:rPr>
        <w:t xml:space="preserve"> </w:t>
      </w:r>
      <w:r w:rsidR="006A6150">
        <w:rPr>
          <w:rFonts w:ascii="Gill Sans MT" w:hAnsi="Gill Sans MT" w:cs="Times New Roman"/>
          <w:b/>
          <w:sz w:val="24"/>
          <w:szCs w:val="24"/>
        </w:rPr>
        <w:t>HRK</w:t>
      </w:r>
      <w:r w:rsidRPr="00542801">
        <w:rPr>
          <w:rFonts w:ascii="Gill Sans MT" w:hAnsi="Gill Sans MT" w:cs="Times New Roman"/>
          <w:sz w:val="24"/>
          <w:szCs w:val="24"/>
        </w:rPr>
        <w:t>.</w:t>
      </w:r>
    </w:p>
    <w:p w:rsidR="001000F9" w:rsidRDefault="001000F9" w:rsidP="00B410F4">
      <w:pPr>
        <w:pStyle w:val="Bezproreda"/>
        <w:jc w:val="both"/>
        <w:rPr>
          <w:rFonts w:ascii="Gill Sans MT" w:hAnsi="Gill Sans MT" w:cs="Times New Roman"/>
          <w:sz w:val="24"/>
          <w:szCs w:val="24"/>
        </w:rPr>
      </w:pPr>
    </w:p>
    <w:p w:rsidR="001656E7" w:rsidRPr="006A6150"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rsidR="00542801" w:rsidRPr="001656E7" w:rsidRDefault="00542801" w:rsidP="00B410F4">
      <w:pPr>
        <w:pStyle w:val="Bezproreda"/>
        <w:spacing w:after="60"/>
        <w:jc w:val="both"/>
        <w:rPr>
          <w:rFonts w:ascii="Gill Sans MT" w:hAnsi="Gill Sans MT" w:cs="Times New Roman"/>
          <w:sz w:val="24"/>
          <w:szCs w:val="24"/>
        </w:rPr>
      </w:pPr>
      <w:r w:rsidRPr="001656E7">
        <w:rPr>
          <w:rFonts w:ascii="Gill Sans MT" w:hAnsi="Gill Sans MT" w:cs="Times New Roman"/>
          <w:sz w:val="24"/>
          <w:szCs w:val="24"/>
        </w:rPr>
        <w:t>Najniža odnosno najviša dopuštena ukupna vrijedn</w:t>
      </w:r>
      <w:r w:rsidR="00A21141">
        <w:rPr>
          <w:rFonts w:ascii="Gill Sans MT" w:hAnsi="Gill Sans MT" w:cs="Times New Roman"/>
          <w:sz w:val="24"/>
          <w:szCs w:val="24"/>
        </w:rPr>
        <w:t>ost bespovratnih sredstava iz NPOO</w:t>
      </w:r>
      <w:r w:rsidRPr="001656E7">
        <w:rPr>
          <w:rFonts w:ascii="Gill Sans MT" w:hAnsi="Gill Sans MT" w:cs="Times New Roman"/>
          <w:sz w:val="24"/>
          <w:szCs w:val="24"/>
        </w:rPr>
        <w:t xml:space="preserve">-a za financiranje prihvatljivih troškova/izdataka pojedinačnog projektnog prijedloga koji može biti dostavljen u sklopu ovog Poziva je kako slijedi: </w:t>
      </w:r>
    </w:p>
    <w:p w:rsidR="00542801" w:rsidRPr="00EE0BCC" w:rsidRDefault="00542801" w:rsidP="00B410F4">
      <w:pPr>
        <w:numPr>
          <w:ilvl w:val="0"/>
          <w:numId w:val="10"/>
        </w:numPr>
        <w:tabs>
          <w:tab w:val="left" w:pos="426"/>
        </w:tabs>
        <w:kinsoku w:val="0"/>
        <w:overflowPunct w:val="0"/>
        <w:spacing w:after="0" w:line="240" w:lineRule="auto"/>
        <w:ind w:left="284" w:hanging="284"/>
        <w:jc w:val="both"/>
        <w:rPr>
          <w:rFonts w:ascii="Gill Sans MT" w:hAnsi="Gill Sans MT" w:cs="Times New Roman"/>
          <w:b/>
          <w:sz w:val="24"/>
          <w:szCs w:val="24"/>
        </w:rPr>
      </w:pPr>
      <w:r w:rsidRPr="00542801">
        <w:rPr>
          <w:rFonts w:ascii="Gill Sans MT" w:hAnsi="Gill Sans MT" w:cs="Times New Roman"/>
          <w:sz w:val="24"/>
          <w:szCs w:val="24"/>
        </w:rPr>
        <w:t xml:space="preserve">najniži iznos </w:t>
      </w:r>
      <w:r w:rsidRPr="00EE0BCC">
        <w:rPr>
          <w:rFonts w:ascii="Gill Sans MT" w:hAnsi="Gill Sans MT" w:cs="Times New Roman"/>
          <w:b/>
          <w:sz w:val="24"/>
          <w:szCs w:val="24"/>
        </w:rPr>
        <w:t>1.000.000,0</w:t>
      </w:r>
      <w:r w:rsidR="006A6150">
        <w:rPr>
          <w:rFonts w:ascii="Gill Sans MT" w:hAnsi="Gill Sans MT" w:cs="Times New Roman"/>
          <w:b/>
          <w:sz w:val="24"/>
          <w:szCs w:val="24"/>
        </w:rPr>
        <w:t>0 HRK</w:t>
      </w:r>
    </w:p>
    <w:p w:rsidR="00542801" w:rsidRPr="00EE0BCC" w:rsidRDefault="00542801" w:rsidP="00B410F4">
      <w:pPr>
        <w:numPr>
          <w:ilvl w:val="0"/>
          <w:numId w:val="10"/>
        </w:numPr>
        <w:tabs>
          <w:tab w:val="left" w:pos="426"/>
        </w:tabs>
        <w:kinsoku w:val="0"/>
        <w:overflowPunct w:val="0"/>
        <w:spacing w:after="0" w:line="240" w:lineRule="auto"/>
        <w:ind w:left="284" w:hanging="284"/>
        <w:jc w:val="both"/>
        <w:rPr>
          <w:rFonts w:ascii="Gill Sans MT" w:hAnsi="Gill Sans MT" w:cs="Times New Roman"/>
          <w:b/>
          <w:sz w:val="24"/>
          <w:szCs w:val="24"/>
        </w:rPr>
      </w:pPr>
      <w:r w:rsidRPr="00542801">
        <w:rPr>
          <w:rFonts w:ascii="Gill Sans MT" w:hAnsi="Gill Sans MT" w:cs="Times New Roman"/>
          <w:sz w:val="24"/>
          <w:szCs w:val="24"/>
        </w:rPr>
        <w:t xml:space="preserve">najviši iznos </w:t>
      </w:r>
      <w:r w:rsidR="003E2B1B">
        <w:rPr>
          <w:rFonts w:ascii="Gill Sans MT" w:hAnsi="Gill Sans MT" w:cs="Times New Roman"/>
          <w:b/>
          <w:sz w:val="24"/>
          <w:szCs w:val="24"/>
        </w:rPr>
        <w:t>100</w:t>
      </w:r>
      <w:r w:rsidR="006A6150">
        <w:rPr>
          <w:rFonts w:ascii="Gill Sans MT" w:hAnsi="Gill Sans MT" w:cs="Times New Roman"/>
          <w:b/>
          <w:sz w:val="24"/>
          <w:szCs w:val="24"/>
        </w:rPr>
        <w:t>.000.000,00 HRK</w:t>
      </w:r>
    </w:p>
    <w:p w:rsidR="002B5F69" w:rsidRPr="00542801" w:rsidRDefault="002B5F69" w:rsidP="00B410F4">
      <w:pPr>
        <w:spacing w:after="0" w:line="240" w:lineRule="auto"/>
        <w:jc w:val="both"/>
        <w:rPr>
          <w:rFonts w:ascii="Gill Sans MT" w:hAnsi="Gill Sans MT"/>
          <w:sz w:val="24"/>
          <w:szCs w:val="24"/>
          <w:lang w:eastAsia="ar-SA"/>
        </w:rPr>
      </w:pPr>
    </w:p>
    <w:p w:rsidR="001656E7" w:rsidRPr="001656E7" w:rsidRDefault="00440612"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rsidR="009E38CF" w:rsidRPr="00542801" w:rsidRDefault="00542801" w:rsidP="00B410F4">
      <w:pPr>
        <w:spacing w:after="120" w:line="240" w:lineRule="auto"/>
        <w:jc w:val="both"/>
        <w:rPr>
          <w:rFonts w:ascii="Gill Sans MT" w:hAnsi="Gill Sans MT" w:cs="Times New Roman"/>
          <w:sz w:val="24"/>
          <w:szCs w:val="24"/>
        </w:rPr>
      </w:pPr>
      <w:r w:rsidRPr="00542801">
        <w:rPr>
          <w:rFonts w:ascii="Gill Sans MT" w:hAnsi="Gill Sans MT" w:cs="Times New Roman"/>
          <w:sz w:val="24"/>
          <w:szCs w:val="24"/>
        </w:rPr>
        <w:t xml:space="preserve">Maksimalni stupanj sufinanciranja prihvatljivih troškova projekta iz bespovratnih sredstava </w:t>
      </w:r>
      <w:r w:rsidR="00A21141">
        <w:rPr>
          <w:rFonts w:ascii="Gill Sans MT" w:hAnsi="Gill Sans MT" w:cs="Times New Roman"/>
          <w:sz w:val="24"/>
          <w:szCs w:val="24"/>
        </w:rPr>
        <w:t>NPOO-a</w:t>
      </w:r>
      <w:r w:rsidR="001656E7">
        <w:rPr>
          <w:rFonts w:ascii="Gill Sans MT" w:hAnsi="Gill Sans MT" w:cs="Times New Roman"/>
          <w:sz w:val="24"/>
          <w:szCs w:val="24"/>
        </w:rPr>
        <w:t xml:space="preserve">, </w:t>
      </w:r>
      <w:r w:rsidRPr="00542801">
        <w:rPr>
          <w:rFonts w:ascii="Gill Sans MT" w:hAnsi="Gill Sans MT" w:cs="Times New Roman"/>
          <w:sz w:val="24"/>
          <w:szCs w:val="24"/>
        </w:rPr>
        <w:t xml:space="preserve">ovisno o veličini poduzeća Prijavitelja i kategorijama postrojenja za biološku obradu odvojeno sakupljenog biootpada, izračunava se u skladu s Programom dodjele državnih </w:t>
      </w:r>
      <w:r w:rsidRPr="00542801">
        <w:rPr>
          <w:rFonts w:ascii="Gill Sans MT" w:hAnsi="Gill Sans MT" w:cs="Times New Roman"/>
          <w:sz w:val="24"/>
          <w:szCs w:val="24"/>
        </w:rPr>
        <w:lastRenderedPageBreak/>
        <w:t>potpora za ulaganja u postrojenja za biološku obradu odvojeno sakupljenog biootpada i iznosi kako slijedi:</w:t>
      </w:r>
    </w:p>
    <w:p w:rsidR="00A21141" w:rsidRPr="00A21141" w:rsidRDefault="00A21141" w:rsidP="00B410F4">
      <w:pPr>
        <w:spacing w:after="120" w:line="240" w:lineRule="auto"/>
        <w:jc w:val="both"/>
        <w:rPr>
          <w:rFonts w:ascii="Gill Sans MT" w:eastAsia="Times New Roman" w:hAnsi="Gill Sans MT" w:cs="Times New Roman"/>
          <w:b/>
          <w:bCs/>
          <w:sz w:val="24"/>
          <w:szCs w:val="24"/>
          <w:lang w:eastAsia="en-US"/>
        </w:rPr>
      </w:pPr>
      <w:r w:rsidRPr="00A21141">
        <w:rPr>
          <w:rFonts w:ascii="Gill Sans MT" w:eastAsia="Times New Roman" w:hAnsi="Gill Sans MT" w:cs="Times New Roman"/>
          <w:b/>
          <w:bCs/>
          <w:i/>
          <w:sz w:val="24"/>
          <w:szCs w:val="24"/>
          <w:lang w:eastAsia="en-US"/>
        </w:rPr>
        <w:t>Tablica 2.a</w:t>
      </w:r>
      <w:r w:rsidRPr="00A21141">
        <w:rPr>
          <w:rFonts w:ascii="Gill Sans MT" w:eastAsia="Times New Roman" w:hAnsi="Gill Sans MT" w:cs="Times New Roman"/>
          <w:b/>
          <w:bCs/>
          <w:i/>
          <w:sz w:val="24"/>
          <w:szCs w:val="24"/>
          <w:lang w:eastAsia="en-US"/>
        </w:rPr>
        <w:tab/>
        <w:t>Maksimalni intenziteti potpore za sva područja RH osim Grada Zagreba</w:t>
      </w:r>
    </w:p>
    <w:tbl>
      <w:tblPr>
        <w:tblStyle w:val="Reetkatablice1"/>
        <w:tblW w:w="9070" w:type="dxa"/>
        <w:jc w:val="center"/>
        <w:tblLook w:val="04A0" w:firstRow="1" w:lastRow="0" w:firstColumn="1" w:lastColumn="0" w:noHBand="0" w:noVBand="1"/>
      </w:tblPr>
      <w:tblGrid>
        <w:gridCol w:w="1980"/>
        <w:gridCol w:w="1559"/>
        <w:gridCol w:w="1563"/>
        <w:gridCol w:w="1417"/>
        <w:gridCol w:w="2551"/>
      </w:tblGrid>
      <w:tr w:rsidR="00A21141" w:rsidRPr="00A21141" w:rsidTr="00B410F4">
        <w:trPr>
          <w:trHeight w:val="510"/>
          <w:jc w:val="center"/>
        </w:trPr>
        <w:tc>
          <w:tcPr>
            <w:tcW w:w="9070" w:type="dxa"/>
            <w:gridSpan w:val="5"/>
            <w:shd w:val="clear" w:color="auto" w:fill="D6F8D7"/>
            <w:vAlign w:val="center"/>
          </w:tcPr>
          <w:p w:rsidR="00A21141" w:rsidRPr="00A21141" w:rsidRDefault="00A21141" w:rsidP="00B410F4">
            <w:pPr>
              <w:spacing w:before="120" w:after="120"/>
              <w:jc w:val="center"/>
              <w:rPr>
                <w:rFonts w:ascii="Gill Sans MT" w:eastAsia="Times New Roman" w:hAnsi="Gill Sans MT" w:cs="Times New Roman"/>
                <w:b/>
                <w:i/>
                <w:sz w:val="24"/>
              </w:rPr>
            </w:pPr>
            <w:r w:rsidRPr="00A21141">
              <w:rPr>
                <w:rFonts w:ascii="Gill Sans MT" w:eastAsia="Times New Roman" w:hAnsi="Gill Sans MT" w:cs="Times New Roman"/>
                <w:b/>
                <w:i/>
                <w:sz w:val="24"/>
              </w:rPr>
              <w:t>Maksimalni intenzitet potpore iz NPOO-a prema veličin</w:t>
            </w:r>
            <w:r w:rsidR="00DC4615">
              <w:rPr>
                <w:rFonts w:ascii="Gill Sans MT" w:eastAsia="Times New Roman" w:hAnsi="Gill Sans MT" w:cs="Times New Roman"/>
                <w:b/>
                <w:i/>
                <w:sz w:val="24"/>
              </w:rPr>
              <w:t>i poduzeća</w:t>
            </w:r>
          </w:p>
        </w:tc>
      </w:tr>
      <w:tr w:rsidR="00A21141" w:rsidRPr="00A21141" w:rsidTr="001A5364">
        <w:trPr>
          <w:jc w:val="center"/>
        </w:trPr>
        <w:tc>
          <w:tcPr>
            <w:tcW w:w="1980"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Kategorija postrojenja</w:t>
            </w:r>
          </w:p>
        </w:tc>
        <w:tc>
          <w:tcPr>
            <w:tcW w:w="1559"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Mikro i malo poduzeće</w:t>
            </w:r>
          </w:p>
        </w:tc>
        <w:tc>
          <w:tcPr>
            <w:tcW w:w="1563"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Srednje poduzeće</w:t>
            </w:r>
          </w:p>
        </w:tc>
        <w:tc>
          <w:tcPr>
            <w:tcW w:w="1417"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Veliko poduzeće</w:t>
            </w:r>
          </w:p>
        </w:tc>
        <w:tc>
          <w:tcPr>
            <w:tcW w:w="2551"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 xml:space="preserve">Program i </w:t>
            </w:r>
          </w:p>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vrsta potpore</w:t>
            </w:r>
          </w:p>
        </w:tc>
      </w:tr>
      <w:tr w:rsidR="00A21141" w:rsidRPr="00A21141" w:rsidTr="001A5364">
        <w:trPr>
          <w:jc w:val="center"/>
        </w:trPr>
        <w:tc>
          <w:tcPr>
            <w:tcW w:w="1980" w:type="dxa"/>
            <w:tcBorders>
              <w:bottom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Postrojenje za recikliranje odvojeno sakupljenog biootpada</w:t>
            </w:r>
          </w:p>
        </w:tc>
        <w:tc>
          <w:tcPr>
            <w:tcW w:w="1559"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70% prihvatljivih troškova</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60% prihvatljivih troškova</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50% prihvatljivih troškova</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Program dodjele državnih potpora – potpore za ulaganje u recikliranje i ponovnu uporabu otpada </w:t>
            </w:r>
          </w:p>
        </w:tc>
      </w:tr>
      <w:tr w:rsidR="00A21141" w:rsidRPr="00A21141" w:rsidTr="001A5364">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Postrojenje za  proizvodnju energije iz OIE</w:t>
            </w:r>
          </w:p>
        </w:tc>
        <w:tc>
          <w:tcPr>
            <w:tcW w:w="1559" w:type="dxa"/>
            <w:tcBorders>
              <w:lef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80% prihvatljivih troškova</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70% prihvatljivih troškova</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60% prihvatljivih troškova</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Program dodjele državnih potpora - potpore za ulaganje u promicanje energije iz OIE</w:t>
            </w:r>
          </w:p>
        </w:tc>
      </w:tr>
      <w:tr w:rsidR="00A21141" w:rsidRPr="00A21141" w:rsidTr="001A5364">
        <w:trPr>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p>
        </w:tc>
        <w:tc>
          <w:tcPr>
            <w:tcW w:w="1559" w:type="dxa"/>
            <w:tcBorders>
              <w:lef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65% prihvatljivih troškova </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55% prihvatljivih troškova </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45% prihvatljivih troškova </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Program dodjele državnih potpora - potpore za ulaganje u promicanje energije iz OIE za mala postrojenja</w:t>
            </w:r>
          </w:p>
        </w:tc>
      </w:tr>
    </w:tbl>
    <w:p w:rsidR="00CF2222" w:rsidRDefault="00CF2222" w:rsidP="00B410F4">
      <w:pPr>
        <w:spacing w:after="0" w:line="240" w:lineRule="auto"/>
        <w:jc w:val="both"/>
        <w:rPr>
          <w:rFonts w:ascii="Gill Sans MT" w:eastAsia="Times New Roman" w:hAnsi="Gill Sans MT" w:cs="Times New Roman"/>
          <w:b/>
          <w:bCs/>
          <w:i/>
          <w:sz w:val="24"/>
          <w:szCs w:val="24"/>
          <w:lang w:eastAsia="en-US"/>
        </w:rPr>
      </w:pPr>
    </w:p>
    <w:p w:rsidR="00A21141" w:rsidRPr="00A21141" w:rsidRDefault="00A21141" w:rsidP="00B410F4">
      <w:pPr>
        <w:spacing w:after="120" w:line="240" w:lineRule="auto"/>
        <w:jc w:val="both"/>
        <w:rPr>
          <w:rFonts w:ascii="Gill Sans MT" w:eastAsia="Times New Roman" w:hAnsi="Gill Sans MT" w:cs="Times New Roman"/>
          <w:b/>
          <w:bCs/>
          <w:sz w:val="24"/>
          <w:szCs w:val="24"/>
          <w:lang w:eastAsia="en-US"/>
        </w:rPr>
      </w:pPr>
      <w:r w:rsidRPr="00A21141">
        <w:rPr>
          <w:rFonts w:ascii="Gill Sans MT" w:eastAsia="Times New Roman" w:hAnsi="Gill Sans MT" w:cs="Times New Roman"/>
          <w:b/>
          <w:bCs/>
          <w:i/>
          <w:sz w:val="24"/>
          <w:szCs w:val="24"/>
          <w:lang w:eastAsia="en-US"/>
        </w:rPr>
        <w:t>Tablica 2.b</w:t>
      </w:r>
      <w:r w:rsidRPr="00A21141">
        <w:rPr>
          <w:rFonts w:ascii="Gill Sans MT" w:eastAsia="Times New Roman" w:hAnsi="Gill Sans MT" w:cs="Times New Roman"/>
          <w:b/>
          <w:bCs/>
          <w:i/>
          <w:sz w:val="24"/>
          <w:szCs w:val="24"/>
          <w:lang w:eastAsia="en-US"/>
        </w:rPr>
        <w:tab/>
        <w:t>Maksimalni intenziteti potpore za područje Grada Zagreba</w:t>
      </w:r>
    </w:p>
    <w:tbl>
      <w:tblPr>
        <w:tblStyle w:val="Reetkatablice1"/>
        <w:tblW w:w="9070" w:type="dxa"/>
        <w:jc w:val="center"/>
        <w:tblLook w:val="04A0" w:firstRow="1" w:lastRow="0" w:firstColumn="1" w:lastColumn="0" w:noHBand="0" w:noVBand="1"/>
      </w:tblPr>
      <w:tblGrid>
        <w:gridCol w:w="1980"/>
        <w:gridCol w:w="1559"/>
        <w:gridCol w:w="1563"/>
        <w:gridCol w:w="1417"/>
        <w:gridCol w:w="2551"/>
      </w:tblGrid>
      <w:tr w:rsidR="00A21141" w:rsidRPr="00A21141" w:rsidTr="00B410F4">
        <w:trPr>
          <w:trHeight w:val="510"/>
          <w:jc w:val="center"/>
        </w:trPr>
        <w:tc>
          <w:tcPr>
            <w:tcW w:w="9070" w:type="dxa"/>
            <w:gridSpan w:val="5"/>
            <w:shd w:val="clear" w:color="auto" w:fill="D6F8D7"/>
            <w:vAlign w:val="center"/>
          </w:tcPr>
          <w:p w:rsidR="00A21141" w:rsidRPr="00A21141" w:rsidRDefault="00A21141" w:rsidP="00B410F4">
            <w:pPr>
              <w:spacing w:before="120" w:after="120"/>
              <w:jc w:val="center"/>
              <w:rPr>
                <w:rFonts w:ascii="Gill Sans MT" w:eastAsia="Times New Roman" w:hAnsi="Gill Sans MT" w:cs="Times New Roman"/>
                <w:b/>
                <w:i/>
                <w:sz w:val="24"/>
              </w:rPr>
            </w:pPr>
            <w:r w:rsidRPr="00A21141">
              <w:rPr>
                <w:rFonts w:ascii="Gill Sans MT" w:eastAsia="Times New Roman" w:hAnsi="Gill Sans MT" w:cs="Times New Roman"/>
                <w:b/>
                <w:i/>
                <w:sz w:val="24"/>
              </w:rPr>
              <w:t>Maksimalni intenzitet potpore iz NPOO-a prema veličini poduzeća</w:t>
            </w:r>
          </w:p>
        </w:tc>
      </w:tr>
      <w:tr w:rsidR="00A21141" w:rsidRPr="00A21141" w:rsidTr="001A5364">
        <w:trPr>
          <w:trHeight w:val="334"/>
          <w:jc w:val="center"/>
        </w:trPr>
        <w:tc>
          <w:tcPr>
            <w:tcW w:w="1980"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Kategorija postrojenja</w:t>
            </w:r>
          </w:p>
        </w:tc>
        <w:tc>
          <w:tcPr>
            <w:tcW w:w="1559"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Mikro i malo poduzeće</w:t>
            </w:r>
          </w:p>
        </w:tc>
        <w:tc>
          <w:tcPr>
            <w:tcW w:w="1563"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Srednje poduzeće</w:t>
            </w:r>
          </w:p>
        </w:tc>
        <w:tc>
          <w:tcPr>
            <w:tcW w:w="1417"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Veliko poduzeće</w:t>
            </w:r>
          </w:p>
        </w:tc>
        <w:tc>
          <w:tcPr>
            <w:tcW w:w="2551" w:type="dxa"/>
            <w:shd w:val="clear" w:color="auto" w:fill="D6F8D7"/>
            <w:vAlign w:val="center"/>
          </w:tcPr>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 xml:space="preserve">Program i </w:t>
            </w:r>
          </w:p>
          <w:p w:rsidR="00A21141" w:rsidRPr="00A21141" w:rsidRDefault="00A21141" w:rsidP="00B410F4">
            <w:pPr>
              <w:jc w:val="center"/>
              <w:rPr>
                <w:rFonts w:ascii="Gill Sans MT" w:eastAsia="Times New Roman" w:hAnsi="Gill Sans MT" w:cs="Times New Roman"/>
                <w:b/>
                <w:i/>
              </w:rPr>
            </w:pPr>
            <w:r w:rsidRPr="00A21141">
              <w:rPr>
                <w:rFonts w:ascii="Gill Sans MT" w:eastAsia="Times New Roman" w:hAnsi="Gill Sans MT" w:cs="Times New Roman"/>
                <w:b/>
                <w:i/>
              </w:rPr>
              <w:t>vrsta potpore</w:t>
            </w:r>
          </w:p>
        </w:tc>
      </w:tr>
      <w:tr w:rsidR="00A21141" w:rsidRPr="00A21141" w:rsidTr="001A5364">
        <w:trPr>
          <w:jc w:val="center"/>
        </w:trPr>
        <w:tc>
          <w:tcPr>
            <w:tcW w:w="1980" w:type="dxa"/>
            <w:tcBorders>
              <w:bottom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Postrojenje za recikliranje odvojeno sakupljenog biootpada</w:t>
            </w:r>
          </w:p>
        </w:tc>
        <w:tc>
          <w:tcPr>
            <w:tcW w:w="1559"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60 % prihvatljivih troškova</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50 % prihvatljivih troškova</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40 % prihvatljivih troškova</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Program dodjele državnih potpora – potpore za ulaganje u recikliranje i ponovnu uporabu otpada </w:t>
            </w:r>
          </w:p>
        </w:tc>
      </w:tr>
      <w:tr w:rsidR="00A21141" w:rsidRPr="00A21141" w:rsidTr="001A5364">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Postrojenje za  proizvodnju energije iz OIE</w:t>
            </w:r>
          </w:p>
        </w:tc>
        <w:tc>
          <w:tcPr>
            <w:tcW w:w="1559" w:type="dxa"/>
            <w:tcBorders>
              <w:lef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70 % prihvatljivih troškova</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60 % prihvatljivih troškova</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50 % prihvatljivih troškova</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Program dodjele državnih potpora - potpore za ulaganje u promicanje energije iz OIE</w:t>
            </w:r>
          </w:p>
        </w:tc>
      </w:tr>
      <w:tr w:rsidR="00A21141" w:rsidRPr="00A21141" w:rsidTr="001A5364">
        <w:trPr>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p>
        </w:tc>
        <w:tc>
          <w:tcPr>
            <w:tcW w:w="1559" w:type="dxa"/>
            <w:tcBorders>
              <w:left w:val="single" w:sz="4" w:space="0" w:color="auto"/>
            </w:tcBorders>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55 % prihvatljivih troškova </w:t>
            </w:r>
          </w:p>
        </w:tc>
        <w:tc>
          <w:tcPr>
            <w:tcW w:w="1563"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45 % prihvatljivih troškova </w:t>
            </w:r>
          </w:p>
        </w:tc>
        <w:tc>
          <w:tcPr>
            <w:tcW w:w="1417"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 xml:space="preserve">35 % prihvatljivih troškova </w:t>
            </w:r>
          </w:p>
        </w:tc>
        <w:tc>
          <w:tcPr>
            <w:tcW w:w="2551" w:type="dxa"/>
            <w:vAlign w:val="center"/>
          </w:tcPr>
          <w:p w:rsidR="00A21141" w:rsidRPr="00B410F4" w:rsidRDefault="00A21141" w:rsidP="00B410F4">
            <w:pPr>
              <w:spacing w:before="60" w:after="60"/>
              <w:jc w:val="center"/>
              <w:rPr>
                <w:rFonts w:ascii="Gill Sans MT" w:eastAsia="Times New Roman" w:hAnsi="Gill Sans MT" w:cs="Times New Roman"/>
                <w:sz w:val="20"/>
                <w:szCs w:val="20"/>
              </w:rPr>
            </w:pPr>
            <w:r w:rsidRPr="00B410F4">
              <w:rPr>
                <w:rFonts w:ascii="Gill Sans MT" w:eastAsia="Times New Roman" w:hAnsi="Gill Sans MT" w:cs="Times New Roman"/>
                <w:sz w:val="20"/>
                <w:szCs w:val="20"/>
              </w:rPr>
              <w:t>Program dodjele državnih potpora - potpore za ulaganje u promicanje energije iz OIE za mala postrojenja</w:t>
            </w:r>
          </w:p>
        </w:tc>
      </w:tr>
    </w:tbl>
    <w:p w:rsidR="006D4001" w:rsidRDefault="006D4001" w:rsidP="001A5364">
      <w:pPr>
        <w:spacing w:after="0" w:line="240" w:lineRule="auto"/>
        <w:jc w:val="both"/>
        <w:rPr>
          <w:rFonts w:ascii="Gill Sans MT" w:hAnsi="Gill Sans MT"/>
          <w:sz w:val="24"/>
          <w:szCs w:val="24"/>
          <w:lang w:eastAsia="ar-SA"/>
        </w:rPr>
      </w:pPr>
    </w:p>
    <w:p w:rsidR="00D52FE9" w:rsidRPr="00542801" w:rsidRDefault="00BF18E3" w:rsidP="00B410F4">
      <w:pPr>
        <w:pStyle w:val="Naslov1"/>
        <w:numPr>
          <w:ilvl w:val="0"/>
          <w:numId w:val="3"/>
        </w:numPr>
        <w:kinsoku w:val="0"/>
        <w:overflowPunct w:val="0"/>
        <w:spacing w:before="0" w:after="6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rsidR="001656E7" w:rsidRDefault="006D4001" w:rsidP="001C5AD5">
      <w:pPr>
        <w:tabs>
          <w:tab w:val="center" w:pos="4320"/>
          <w:tab w:val="right" w:pos="8640"/>
        </w:tabs>
        <w:spacing w:after="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Prijavitelj u sklopu ovog Poziva može biti pravna ili fizička osoba koja je malo, srednje ili veliko poduzeće koje je, na dan podnošenja projektnog prijedloga, registrirano najmanje godinu dana u sudskom ili drugom odgovarajućem registru države sjedišta Prijavitelja.  </w:t>
      </w:r>
    </w:p>
    <w:p w:rsidR="00351E3E" w:rsidRDefault="00351E3E" w:rsidP="00B410F4">
      <w:pPr>
        <w:tabs>
          <w:tab w:val="center" w:pos="4320"/>
          <w:tab w:val="right" w:pos="8640"/>
        </w:tabs>
        <w:spacing w:after="0" w:line="240" w:lineRule="auto"/>
        <w:jc w:val="both"/>
        <w:rPr>
          <w:rFonts w:ascii="Gill Sans MT" w:eastAsia="Times New Roman" w:hAnsi="Gill Sans MT" w:cs="Times New Roman"/>
          <w:sz w:val="24"/>
          <w:szCs w:val="24"/>
          <w:lang w:eastAsia="en-US"/>
        </w:rPr>
      </w:pPr>
    </w:p>
    <w:p w:rsidR="00351E3E" w:rsidRPr="00351E3E" w:rsidRDefault="00351E3E" w:rsidP="00B410F4">
      <w:pPr>
        <w:pStyle w:val="Odlomakpopisa"/>
        <w:numPr>
          <w:ilvl w:val="0"/>
          <w:numId w:val="3"/>
        </w:numPr>
        <w:tabs>
          <w:tab w:val="center" w:pos="4320"/>
          <w:tab w:val="right" w:pos="8640"/>
        </w:tabs>
        <w:spacing w:after="60" w:line="240" w:lineRule="auto"/>
        <w:ind w:left="425" w:hanging="425"/>
        <w:contextualSpacing w:val="0"/>
        <w:jc w:val="both"/>
        <w:rPr>
          <w:rFonts w:ascii="Gill Sans MT" w:eastAsia="Times New Roman" w:hAnsi="Gill Sans MT" w:cs="Times New Roman"/>
          <w:b/>
          <w:sz w:val="24"/>
          <w:szCs w:val="24"/>
          <w:lang w:eastAsia="en-US"/>
        </w:rPr>
      </w:pPr>
      <w:r w:rsidRPr="00351E3E">
        <w:rPr>
          <w:rFonts w:ascii="Gill Sans MT" w:eastAsia="Times New Roman" w:hAnsi="Gill Sans MT" w:cs="Times New Roman"/>
          <w:b/>
          <w:sz w:val="24"/>
          <w:szCs w:val="24"/>
          <w:lang w:eastAsia="en-US"/>
        </w:rPr>
        <w:t>Dokumentacija projektnog prijedloga</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Prijavni obrazac</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o korištenim potporama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Skupna izjava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o osiguranju vlastitog udjela sufinanciranja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lastRenderedPageBreak/>
        <w:t xml:space="preserve">Obrazac usklađenosti projektnog prijedloga s načelom </w:t>
      </w:r>
      <w:r w:rsidR="00C82B1A">
        <w:rPr>
          <w:rFonts w:ascii="Gill Sans MT" w:eastAsia="Times New Roman" w:hAnsi="Gill Sans MT" w:cs="Times New Roman"/>
          <w:sz w:val="24"/>
          <w:szCs w:val="24"/>
          <w:lang w:eastAsia="en-US"/>
        </w:rPr>
        <w:t>DNSH (</w:t>
      </w:r>
      <w:r w:rsidRPr="00351E3E">
        <w:rPr>
          <w:rFonts w:ascii="Gill Sans MT" w:eastAsia="Times New Roman" w:hAnsi="Gill Sans MT" w:cs="Times New Roman"/>
          <w:sz w:val="24"/>
          <w:szCs w:val="24"/>
          <w:lang w:eastAsia="en-US"/>
        </w:rPr>
        <w:t>„ne nanosi bitnu štetu“</w:t>
      </w:r>
      <w:r w:rsidR="00C82B1A">
        <w:rPr>
          <w:rFonts w:ascii="Gill Sans MT" w:eastAsia="Times New Roman" w:hAnsi="Gill Sans MT" w:cs="Times New Roman"/>
          <w:sz w:val="24"/>
          <w:szCs w:val="24"/>
          <w:lang w:eastAsia="en-US"/>
        </w:rPr>
        <w:t>)</w:t>
      </w:r>
      <w:bookmarkStart w:id="1" w:name="_GoBack"/>
      <w:bookmarkEnd w:id="1"/>
      <w:r w:rsidRPr="00351E3E">
        <w:rPr>
          <w:rFonts w:ascii="Gill Sans MT" w:eastAsia="Times New Roman" w:hAnsi="Gill Sans MT" w:cs="Times New Roman"/>
          <w:sz w:val="24"/>
          <w:szCs w:val="24"/>
          <w:lang w:eastAsia="en-US"/>
        </w:rPr>
        <w:t xml:space="preserve"> </w:t>
      </w:r>
      <w:r w:rsidR="00C82B1A">
        <w:rPr>
          <w:rFonts w:ascii="Gill Sans MT" w:eastAsia="Times New Roman" w:hAnsi="Gill Sans MT" w:cs="Times New Roman"/>
          <w:sz w:val="24"/>
          <w:szCs w:val="24"/>
          <w:lang w:eastAsia="en-US"/>
        </w:rPr>
        <w:t>– DNSH kontrolna lista</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troškova i koristi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tržišta i dostupnosti biootpada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Pravomoćno Rješenje </w:t>
      </w:r>
      <w:r w:rsidR="001A5364" w:rsidRPr="00351E3E">
        <w:rPr>
          <w:rFonts w:ascii="Gill Sans MT" w:eastAsia="Times New Roman" w:hAnsi="Gill Sans MT" w:cs="Times New Roman"/>
          <w:sz w:val="24"/>
          <w:szCs w:val="24"/>
          <w:lang w:eastAsia="en-US"/>
        </w:rPr>
        <w:t xml:space="preserve">(s klauzulom ili potvrdom pravomoćnosti) </w:t>
      </w:r>
      <w:r w:rsidRPr="00351E3E">
        <w:rPr>
          <w:rFonts w:ascii="Gill Sans MT" w:eastAsia="Times New Roman" w:hAnsi="Gill Sans MT" w:cs="Times New Roman"/>
          <w:sz w:val="24"/>
          <w:szCs w:val="24"/>
          <w:lang w:eastAsia="en-US"/>
        </w:rPr>
        <w:t xml:space="preserve">nadležnog tijela o prihvatljivosti zahvata za okoliš ukoliko je za zahvat obvezna procjena utjecaja na okoliš (MINGOR) i/ili pravomoćno rješenje nadležnog tijela kojim se utvrđuje da za zahvat nije potrebno provesti procjenu utjecaja zahvata na okoliš </w:t>
      </w:r>
      <w:r w:rsidR="001A5364">
        <w:rPr>
          <w:rFonts w:ascii="Gill Sans MT" w:eastAsia="Times New Roman" w:hAnsi="Gill Sans MT" w:cs="Times New Roman"/>
          <w:sz w:val="24"/>
          <w:szCs w:val="24"/>
          <w:lang w:eastAsia="en-US"/>
        </w:rPr>
        <w:t xml:space="preserve">(PUO) </w:t>
      </w:r>
      <w:r w:rsidRPr="00351E3E">
        <w:rPr>
          <w:rFonts w:ascii="Gill Sans MT" w:eastAsia="Times New Roman" w:hAnsi="Gill Sans MT" w:cs="Times New Roman"/>
          <w:sz w:val="24"/>
          <w:szCs w:val="24"/>
          <w:lang w:eastAsia="en-US"/>
        </w:rPr>
        <w:t xml:space="preserve">ukoliko je za zahvat obvezna ocjena o potrebi </w:t>
      </w:r>
      <w:r w:rsidR="001A5364">
        <w:rPr>
          <w:rFonts w:ascii="Gill Sans MT" w:eastAsia="Times New Roman" w:hAnsi="Gill Sans MT" w:cs="Times New Roman"/>
          <w:sz w:val="24"/>
          <w:szCs w:val="24"/>
          <w:lang w:eastAsia="en-US"/>
        </w:rPr>
        <w:t>PUO</w:t>
      </w:r>
      <w:r w:rsidRPr="00351E3E">
        <w:rPr>
          <w:rFonts w:ascii="Gill Sans MT" w:eastAsia="Times New Roman" w:hAnsi="Gill Sans MT" w:cs="Times New Roman"/>
          <w:sz w:val="24"/>
          <w:szCs w:val="24"/>
          <w:lang w:eastAsia="en-US"/>
        </w:rPr>
        <w:t xml:space="preserve"> (MINGOR-a ili upravnog tijela županije/Grada Zagreba)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 (s klauzulom ili potvrdom pravomoćnosti)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Mišljenje (MINGOR) nadležnog tijela jesu li ispravno primijenjeni zahtjevi Direktive 2011/92/EU i Direktive 2014/52/EU vezano uz postupak ocjene o potrebi </w:t>
      </w:r>
      <w:r w:rsidR="001C5AD5">
        <w:rPr>
          <w:rFonts w:ascii="Gill Sans MT" w:eastAsia="Times New Roman" w:hAnsi="Gill Sans MT" w:cs="Times New Roman"/>
          <w:sz w:val="24"/>
          <w:szCs w:val="24"/>
          <w:lang w:eastAsia="en-US"/>
        </w:rPr>
        <w:t>PUO</w:t>
      </w:r>
      <w:r w:rsidRPr="00351E3E">
        <w:rPr>
          <w:rFonts w:ascii="Gill Sans MT" w:eastAsia="Times New Roman" w:hAnsi="Gill Sans MT" w:cs="Times New Roman"/>
          <w:sz w:val="24"/>
          <w:szCs w:val="24"/>
          <w:lang w:eastAsia="en-US"/>
        </w:rPr>
        <w:t xml:space="preserve"> ili mišljenje nadležnog tijela (MINGOR – a za popis zahvata iz Priloga II. Uredbe i upravnog t</w:t>
      </w:r>
      <w:r w:rsidR="005E10E7">
        <w:rPr>
          <w:rFonts w:ascii="Gill Sans MT" w:eastAsia="Times New Roman" w:hAnsi="Gill Sans MT" w:cs="Times New Roman"/>
          <w:sz w:val="24"/>
          <w:szCs w:val="24"/>
          <w:lang w:eastAsia="en-US"/>
        </w:rPr>
        <w:t>ijela županije/Grada Zagreba</w:t>
      </w:r>
      <w:r w:rsidRPr="00351E3E">
        <w:rPr>
          <w:rFonts w:ascii="Gill Sans MT" w:eastAsia="Times New Roman" w:hAnsi="Gill Sans MT" w:cs="Times New Roman"/>
          <w:sz w:val="24"/>
          <w:szCs w:val="24"/>
          <w:lang w:eastAsia="en-US"/>
        </w:rPr>
        <w:t xml:space="preserve"> za popis zahvata iz Priloga III. Uredbe) da za predloženi zahvat nije potrebno provesti postupak ocjene o potrebi </w:t>
      </w:r>
      <w:r w:rsidR="001C5AD5">
        <w:rPr>
          <w:rFonts w:ascii="Gill Sans MT" w:eastAsia="Times New Roman" w:hAnsi="Gill Sans MT" w:cs="Times New Roman"/>
          <w:sz w:val="24"/>
          <w:szCs w:val="24"/>
          <w:lang w:eastAsia="en-US"/>
        </w:rPr>
        <w:t>PUO</w:t>
      </w:r>
      <w:r w:rsidRPr="00351E3E">
        <w:rPr>
          <w:rFonts w:ascii="Gill Sans MT" w:eastAsia="Times New Roman" w:hAnsi="Gill Sans MT" w:cs="Times New Roman"/>
          <w:sz w:val="24"/>
          <w:szCs w:val="24"/>
          <w:lang w:eastAsia="en-US"/>
        </w:rPr>
        <w:t xml:space="preserve"> </w:t>
      </w:r>
    </w:p>
    <w:p w:rsidR="00877962" w:rsidRPr="00CF2222"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Okolišna dozvola ili Mišljenje nadležnog tijela (MINGOR-a) da za djelatnost iz Priloga 1 točka 5. Uredbe o okolišnoj dozvoli nije potrebno ishoditi okolišnu dozvolu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izgradnju i opremanje novih postrojenja za proizvodnju OIE</w:t>
      </w:r>
      <w:r w:rsidRPr="00351E3E">
        <w:rPr>
          <w:rFonts w:ascii="Gill Sans MT" w:eastAsia="Times New Roman" w:hAnsi="Gill Sans MT" w:cs="Times New Roman"/>
          <w:sz w:val="24"/>
          <w:szCs w:val="24"/>
          <w:lang w:eastAsia="en-US"/>
        </w:rPr>
        <w:t>:</w:t>
      </w:r>
    </w:p>
    <w:p w:rsidR="00351E3E" w:rsidRPr="00B410F4" w:rsidRDefault="00351E3E" w:rsidP="00B73B05">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rsid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pravomoćna građevinska dozvola (s klauzulom ili potvrdom pravomoćnosti) koja glasi na Prijavitelja, uključujući</w:t>
      </w:r>
      <w:r w:rsidR="0096710E">
        <w:rPr>
          <w:rFonts w:ascii="Gill Sans MT" w:eastAsia="Times New Roman" w:hAnsi="Gill Sans MT" w:cs="Times New Roman"/>
          <w:sz w:val="24"/>
          <w:szCs w:val="24"/>
          <w:lang w:eastAsia="en-US"/>
        </w:rPr>
        <w:t xml:space="preserve"> ovjereni</w:t>
      </w:r>
      <w:r w:rsidRPr="00351E3E">
        <w:rPr>
          <w:rFonts w:ascii="Gill Sans MT" w:eastAsia="Times New Roman" w:hAnsi="Gill Sans MT" w:cs="Times New Roman"/>
          <w:sz w:val="24"/>
          <w:szCs w:val="24"/>
          <w:lang w:eastAsia="en-US"/>
        </w:rPr>
        <w:t xml:space="preserve"> glavni projekt s ovjerenim troškovnikom.</w:t>
      </w:r>
    </w:p>
    <w:p w:rsidR="00FF60AE" w:rsidRPr="00FF60AE" w:rsidRDefault="00FF60AE" w:rsidP="00C6479C">
      <w:pPr>
        <w:pStyle w:val="Odlomakpopisa"/>
        <w:tabs>
          <w:tab w:val="center" w:pos="4320"/>
          <w:tab w:val="right" w:pos="8640"/>
        </w:tabs>
        <w:spacing w:after="120" w:line="240" w:lineRule="auto"/>
        <w:ind w:left="426" w:hanging="284"/>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 xml:space="preserve">- </w:t>
      </w:r>
      <w:r w:rsidRPr="00FF60AE">
        <w:rPr>
          <w:rFonts w:ascii="Gill Sans MT" w:eastAsia="Times New Roman" w:hAnsi="Gill Sans MT" w:cs="Times New Roman"/>
          <w:sz w:val="24"/>
          <w:szCs w:val="24"/>
          <w:lang w:eastAsia="en-US"/>
        </w:rPr>
        <w:t>U slučaju projektnog prijedloga koji predviđa ulaganje u izgradnju i opremanje novih postrojenja za proizvodnju OIE:</w:t>
      </w:r>
    </w:p>
    <w:p w:rsidR="00FF60AE" w:rsidRPr="00FF60AE" w:rsidRDefault="00FF60AE" w:rsidP="00FF60AE">
      <w:pPr>
        <w:pStyle w:val="Odlomakpopisa"/>
        <w:tabs>
          <w:tab w:val="center" w:pos="4320"/>
          <w:tab w:val="right" w:pos="8640"/>
        </w:tabs>
        <w:spacing w:after="60" w:line="240" w:lineRule="auto"/>
        <w:ind w:left="851" w:hanging="142"/>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 xml:space="preserve">- </w:t>
      </w:r>
      <w:r w:rsidR="00C6479C">
        <w:rPr>
          <w:rFonts w:ascii="Gill Sans MT" w:eastAsia="Times New Roman" w:hAnsi="Gill Sans MT" w:cs="Times New Roman"/>
          <w:sz w:val="24"/>
          <w:szCs w:val="24"/>
          <w:lang w:eastAsia="en-US"/>
        </w:rPr>
        <w:t xml:space="preserve">   </w:t>
      </w:r>
      <w:r>
        <w:rPr>
          <w:rFonts w:ascii="Gill Sans MT" w:eastAsia="Times New Roman" w:hAnsi="Gill Sans MT" w:cs="Times New Roman"/>
          <w:sz w:val="24"/>
          <w:szCs w:val="24"/>
          <w:lang w:eastAsia="en-US"/>
        </w:rPr>
        <w:t>v</w:t>
      </w:r>
      <w:r w:rsidRPr="00FF60AE">
        <w:rPr>
          <w:rFonts w:ascii="Gill Sans MT" w:eastAsia="Times New Roman" w:hAnsi="Gill Sans MT" w:cs="Times New Roman"/>
          <w:sz w:val="24"/>
          <w:szCs w:val="24"/>
          <w:lang w:eastAsia="en-US"/>
        </w:rPr>
        <w:t>ažeći ugovor o priključenju (na elektroen</w:t>
      </w:r>
      <w:r>
        <w:rPr>
          <w:rFonts w:ascii="Gill Sans MT" w:eastAsia="Times New Roman" w:hAnsi="Gill Sans MT" w:cs="Times New Roman"/>
          <w:sz w:val="24"/>
          <w:szCs w:val="24"/>
          <w:lang w:eastAsia="en-US"/>
        </w:rPr>
        <w:t xml:space="preserve">ergetsku mrežu) </w:t>
      </w:r>
    </w:p>
    <w:p w:rsidR="00FF60AE" w:rsidRPr="00B410F4" w:rsidRDefault="00FF60AE" w:rsidP="00C6479C">
      <w:pPr>
        <w:pStyle w:val="Odlomakpopisa"/>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 xml:space="preserve">- </w:t>
      </w:r>
      <w:r w:rsidR="00C6479C">
        <w:rPr>
          <w:rFonts w:ascii="Gill Sans MT" w:eastAsia="Times New Roman" w:hAnsi="Gill Sans MT" w:cs="Times New Roman"/>
          <w:sz w:val="24"/>
          <w:szCs w:val="24"/>
          <w:lang w:eastAsia="en-US"/>
        </w:rPr>
        <w:t xml:space="preserve">  </w:t>
      </w:r>
      <w:r>
        <w:rPr>
          <w:rFonts w:ascii="Gill Sans MT" w:eastAsia="Times New Roman" w:hAnsi="Gill Sans MT" w:cs="Times New Roman"/>
          <w:sz w:val="24"/>
          <w:szCs w:val="24"/>
          <w:lang w:eastAsia="en-US"/>
        </w:rPr>
        <w:t>d</w:t>
      </w:r>
      <w:r w:rsidRPr="00FF60AE">
        <w:rPr>
          <w:rFonts w:ascii="Gill Sans MT" w:eastAsia="Times New Roman" w:hAnsi="Gill Sans MT" w:cs="Times New Roman"/>
          <w:sz w:val="24"/>
          <w:szCs w:val="24"/>
          <w:lang w:eastAsia="en-US"/>
        </w:rPr>
        <w:t>okaz o izvršenoj uplati prvog obroka ugovorene cijene naknade za priključenje nakon sklapanja Ugovora o priključenju</w:t>
      </w:r>
    </w:p>
    <w:p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postrojenja za recikliranje, a čije aktivnosti zahtijevaju ishođenje građevinske dozvole:</w:t>
      </w:r>
    </w:p>
    <w:p w:rsidR="00351E3E" w:rsidRPr="00B410F4" w:rsidRDefault="00351E3E" w:rsidP="006D0A77">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rsidR="00351E3E" w:rsidRPr="00B410F4"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pravomoćna građevinska (s klauzulom ili potvrdom pravomoćnosti) dozvola koja glasi na Prijavitelja, uključujući ovjereni glavni projekt s ovjerenim troškovnikom.</w:t>
      </w:r>
    </w:p>
    <w:p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p>
    <w:p w:rsidR="00351E3E" w:rsidRPr="00351E3E" w:rsidRDefault="00351E3E" w:rsidP="00B410F4">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uporabna dozvola za postojeću građevinu u kojoj se obavlja postupak gospodarenja otpadom, </w:t>
      </w:r>
    </w:p>
    <w:p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važeći akt za obavljanje djelatnosti gospodarenja otpadom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riješenim imovinsko-pravnim odnosima, odnosno vlasnički list kojim se dokazuje vlasništvo ili pravo građenja izdan od nadležnog tijela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r w:rsidRPr="00351E3E">
        <w:rPr>
          <w:rFonts w:ascii="Gill Sans MT" w:eastAsia="Times New Roman" w:hAnsi="Gill Sans MT" w:cs="Times New Roman"/>
          <w:sz w:val="24"/>
          <w:szCs w:val="24"/>
          <w:lang w:eastAsia="en-US"/>
        </w:rPr>
        <w:t>:</w:t>
      </w:r>
    </w:p>
    <w:p w:rsidR="00351E3E" w:rsidRPr="00B410F4" w:rsidRDefault="00351E3E" w:rsidP="00403CE2">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vlasnički list kojim se dokazuje vlasništvo ili pravo građenja,</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r w:rsidRPr="00B410F4">
        <w:rPr>
          <w:rFonts w:ascii="Gill Sans MT" w:eastAsia="Times New Roman" w:hAnsi="Gill Sans MT" w:cs="Times New Roman"/>
          <w:sz w:val="24"/>
          <w:szCs w:val="24"/>
          <w:lang w:eastAsia="en-US"/>
        </w:rPr>
        <w:t xml:space="preserve"> </w:t>
      </w:r>
    </w:p>
    <w:p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raspolaganju građevinom u kojoj se obavlja postupak gospodarenja otpadom (primjerice: ugovor/sporazum o pravu upravljanja/korištenja postrojenja), u trajanju od minimalno 5 godina nakon završnog plaćanja Korisniku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Nacrt dokumentacije o nabavi za aktivnosti uspostave postrojenja za obradu biootpada</w:t>
      </w:r>
      <w:r w:rsidR="005E10E7">
        <w:rPr>
          <w:rFonts w:ascii="Gill Sans MT" w:eastAsia="Times New Roman" w:hAnsi="Gill Sans MT" w:cs="Times New Roman"/>
          <w:sz w:val="24"/>
          <w:szCs w:val="24"/>
          <w:lang w:eastAsia="en-US"/>
        </w:rPr>
        <w:t xml:space="preserve"> (za radove i/ili za nabavu opreme)</w:t>
      </w:r>
      <w:r w:rsidRPr="00351E3E">
        <w:rPr>
          <w:rFonts w:ascii="Gill Sans MT" w:eastAsia="Times New Roman" w:hAnsi="Gill Sans MT" w:cs="Times New Roman"/>
          <w:sz w:val="24"/>
          <w:szCs w:val="24"/>
          <w:lang w:eastAsia="en-US"/>
        </w:rPr>
        <w:t xml:space="preserve"> </w:t>
      </w:r>
    </w:p>
    <w:p w:rsid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Izvod iz sudskog ili obrtnog registra ili drugog odgovarajućeg registra države sjedišta Prijavitelja ili važeći jednakovrijedni dokument koji je izdalo nadležno tijelo u državi sjedišta Prijavitelja, ne stariji od 30 dana od dana podnošenja projektnog prijedloga </w:t>
      </w:r>
    </w:p>
    <w:p w:rsidR="002B0CF7" w:rsidRPr="001000F9" w:rsidRDefault="002B0CF7"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hAnsi="Gill Sans MT" w:cs="Times New Roman"/>
          <w:sz w:val="24"/>
          <w:szCs w:val="24"/>
        </w:rPr>
      </w:pPr>
      <w:r w:rsidRPr="001000F9">
        <w:rPr>
          <w:rFonts w:ascii="Gill Sans MT" w:hAnsi="Gill Sans MT"/>
          <w:sz w:val="24"/>
          <w:szCs w:val="24"/>
        </w:rPr>
        <w:t>Izvadak iz Registra s</w:t>
      </w:r>
      <w:r w:rsidR="00DD2605">
        <w:rPr>
          <w:rFonts w:ascii="Gill Sans MT" w:hAnsi="Gill Sans MT"/>
          <w:sz w:val="24"/>
          <w:szCs w:val="24"/>
        </w:rPr>
        <w:t>tvarnih vlasnika prijavitelja</w:t>
      </w:r>
      <w:r w:rsidRPr="001000F9">
        <w:rPr>
          <w:rFonts w:ascii="Gill Sans MT" w:hAnsi="Gill Sans MT"/>
          <w:sz w:val="24"/>
          <w:szCs w:val="24"/>
        </w:rPr>
        <w:t xml:space="preserve"> ne stariji od 10 dana od dana </w:t>
      </w:r>
      <w:r w:rsidRPr="00B410F4">
        <w:rPr>
          <w:rFonts w:ascii="Gill Sans MT" w:eastAsia="Times New Roman" w:hAnsi="Gill Sans MT" w:cs="Times New Roman"/>
          <w:sz w:val="24"/>
          <w:szCs w:val="24"/>
          <w:lang w:eastAsia="en-US"/>
        </w:rPr>
        <w:t>podnošenja</w:t>
      </w:r>
      <w:r w:rsidRPr="001000F9">
        <w:rPr>
          <w:rFonts w:ascii="Gill Sans MT" w:hAnsi="Gill Sans MT"/>
          <w:sz w:val="24"/>
          <w:szCs w:val="24"/>
        </w:rPr>
        <w:t xml:space="preserve"> projektnog prijedloga</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GFI poduzeća ili DOH za obrtnike ili drugi jednakovrijedni dokument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proofErr w:type="spellStart"/>
      <w:r w:rsidRPr="00351E3E">
        <w:rPr>
          <w:rFonts w:ascii="Gill Sans MT" w:eastAsia="Times New Roman" w:hAnsi="Gill Sans MT" w:cs="Times New Roman"/>
          <w:sz w:val="24"/>
          <w:szCs w:val="24"/>
          <w:lang w:eastAsia="en-US"/>
        </w:rPr>
        <w:t>BonPlus</w:t>
      </w:r>
      <w:proofErr w:type="spellEnd"/>
      <w:r w:rsidRPr="00351E3E">
        <w:rPr>
          <w:rFonts w:ascii="Gill Sans MT" w:eastAsia="Times New Roman" w:hAnsi="Gill Sans MT" w:cs="Times New Roman"/>
          <w:sz w:val="24"/>
          <w:szCs w:val="24"/>
          <w:lang w:eastAsia="en-US"/>
        </w:rPr>
        <w:t xml:space="preserve">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Potvrda porezne uprave o podmirenju obveza ili drugi jednakovrijedni dokument, ne stariji od 30 dana od dana podnošenja projektnog prijedloga </w:t>
      </w:r>
    </w:p>
    <w:p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Specifikacija plaćenih doprinosa za zaposlenike, za mjesec koji prethodi danu dostave projektnog prijedloga (JOPPD obrazac stranica A i B) </w:t>
      </w:r>
    </w:p>
    <w:p w:rsidR="006D4001" w:rsidRPr="00542801" w:rsidRDefault="006D4001" w:rsidP="00B410F4">
      <w:pPr>
        <w:tabs>
          <w:tab w:val="center" w:pos="4320"/>
          <w:tab w:val="right" w:pos="8640"/>
        </w:tabs>
        <w:spacing w:after="0" w:line="240" w:lineRule="auto"/>
        <w:jc w:val="both"/>
        <w:rPr>
          <w:rStyle w:val="hps"/>
          <w:rFonts w:ascii="Gill Sans MT" w:eastAsia="Times New Roman" w:hAnsi="Gill Sans MT" w:cs="Times New Roman"/>
          <w:bCs/>
          <w:sz w:val="24"/>
          <w:szCs w:val="24"/>
          <w:lang w:eastAsia="ar-SA"/>
        </w:rPr>
      </w:pPr>
    </w:p>
    <w:p w:rsidR="00D52FE9" w:rsidRPr="00542801" w:rsidRDefault="00BF18E3" w:rsidP="00B410F4">
      <w:pPr>
        <w:pStyle w:val="Naslov1"/>
        <w:numPr>
          <w:ilvl w:val="0"/>
          <w:numId w:val="3"/>
        </w:numPr>
        <w:kinsoku w:val="0"/>
        <w:overflowPunct w:val="0"/>
        <w:spacing w:before="0" w:after="12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Prihvatljive aktivnosti</w:t>
      </w:r>
    </w:p>
    <w:p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pripreme dokumentacije projektnog prijedloga i ostale projektno-tehničke dokumentacije: </w:t>
      </w:r>
    </w:p>
    <w:p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izrada </w:t>
      </w:r>
      <w:r w:rsidRPr="00B410F4">
        <w:rPr>
          <w:rFonts w:ascii="Gill Sans MT" w:eastAsia="Times New Roman" w:hAnsi="Gill Sans MT" w:cs="Times New Roman"/>
          <w:sz w:val="24"/>
          <w:szCs w:val="24"/>
          <w:lang w:eastAsia="en-US"/>
        </w:rPr>
        <w:t>Analize tržišta i dostupnosti biootpada;</w:t>
      </w:r>
      <w:r w:rsidRPr="006D4001" w:rsidDel="000D3CE8">
        <w:rPr>
          <w:rFonts w:ascii="Gill Sans MT" w:eastAsia="Times New Roman" w:hAnsi="Gill Sans MT" w:cs="Times New Roman"/>
          <w:sz w:val="24"/>
          <w:szCs w:val="24"/>
          <w:lang w:eastAsia="en-US"/>
        </w:rPr>
        <w:t xml:space="preserve"> </w:t>
      </w:r>
    </w:p>
    <w:p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Analize troškova i koristi;</w:t>
      </w:r>
    </w:p>
    <w:p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w:t>
      </w:r>
      <w:r w:rsidR="00DC4615">
        <w:rPr>
          <w:rFonts w:ascii="Gill Sans MT" w:eastAsia="Times New Roman" w:hAnsi="Gill Sans MT" w:cs="Times New Roman"/>
          <w:sz w:val="24"/>
          <w:szCs w:val="24"/>
          <w:lang w:eastAsia="en-US"/>
        </w:rPr>
        <w:t>rada svih prijavnih obrazaca</w:t>
      </w:r>
      <w:r w:rsidRPr="006D4001">
        <w:rPr>
          <w:rFonts w:ascii="Gill Sans MT" w:eastAsia="Times New Roman" w:hAnsi="Gill Sans MT" w:cs="Times New Roman"/>
          <w:sz w:val="24"/>
          <w:szCs w:val="24"/>
          <w:lang w:eastAsia="en-US"/>
        </w:rPr>
        <w:t>;</w:t>
      </w:r>
    </w:p>
    <w:p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potrebne dokumentacije u svrhu ishođenja rješenja nadležnog tijela o prihvatljivosti zahvata za okoliš, ukoliko je za zahvat obvez</w:t>
      </w:r>
      <w:r w:rsidR="001C5AD5">
        <w:rPr>
          <w:rFonts w:ascii="Gill Sans MT" w:eastAsia="Times New Roman" w:hAnsi="Gill Sans MT" w:cs="Times New Roman"/>
          <w:sz w:val="24"/>
          <w:szCs w:val="24"/>
          <w:lang w:eastAsia="en-US"/>
        </w:rPr>
        <w:t>a</w:t>
      </w:r>
      <w:r w:rsidRPr="006D4001">
        <w:rPr>
          <w:rFonts w:ascii="Gill Sans MT" w:eastAsia="Times New Roman" w:hAnsi="Gill Sans MT" w:cs="Times New Roman"/>
          <w:sz w:val="24"/>
          <w:szCs w:val="24"/>
          <w:lang w:eastAsia="en-US"/>
        </w:rPr>
        <w:t xml:space="preserve">n </w:t>
      </w:r>
      <w:r w:rsidR="00B410F4">
        <w:rPr>
          <w:rFonts w:ascii="Gill Sans MT" w:eastAsia="Times New Roman" w:hAnsi="Gill Sans MT" w:cs="Times New Roman"/>
          <w:sz w:val="24"/>
          <w:szCs w:val="24"/>
          <w:lang w:eastAsia="en-US"/>
        </w:rPr>
        <w:t xml:space="preserve">PUO </w:t>
      </w:r>
      <w:r w:rsidRPr="006D4001">
        <w:rPr>
          <w:rFonts w:ascii="Gill Sans MT" w:eastAsia="Times New Roman" w:hAnsi="Gill Sans MT" w:cs="Times New Roman"/>
          <w:sz w:val="24"/>
          <w:szCs w:val="24"/>
          <w:lang w:eastAsia="en-US"/>
        </w:rPr>
        <w:t xml:space="preserve">i/ili rješenja nadležnog tijela kojim se utvrđuje da za zahvat nije potrebno provesti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ukoliko je za zahvat obvezna ocjena o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w:t>
      </w:r>
    </w:p>
    <w:p w:rsidR="006D4001" w:rsidRPr="001C5AD5" w:rsidRDefault="006D4001" w:rsidP="000415B2">
      <w:pPr>
        <w:pStyle w:val="Odlomakpopisa"/>
        <w:numPr>
          <w:ilvl w:val="0"/>
          <w:numId w:val="17"/>
        </w:numPr>
        <w:tabs>
          <w:tab w:val="center" w:pos="4320"/>
          <w:tab w:val="right" w:pos="8640"/>
        </w:tabs>
        <w:spacing w:before="200" w:after="60" w:line="240" w:lineRule="auto"/>
        <w:ind w:left="709" w:hanging="357"/>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izrada projektno-tehničke dokumentacije koja je potrebna za izgradnju, nadogradnju, i/ili opremanje postrojenja za obradu biootpada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 xml:space="preserve"> izrada idejnog projekta za ishođenje lokacijske dozvole,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glavnog projekta s troškovnikom, izrada izvedbenog projekta, izrada projekta izvedenog stanja i izrada ostale projektantske dokumentacije za ishođenje pravomoćnog akta na temelju kojeg može započeti gradnj</w:t>
      </w:r>
      <w:r w:rsidR="001C5AD5">
        <w:rPr>
          <w:rFonts w:ascii="Gill Sans MT" w:eastAsia="Times New Roman" w:hAnsi="Gill Sans MT" w:cs="Times New Roman"/>
          <w:sz w:val="24"/>
          <w:szCs w:val="24"/>
          <w:lang w:eastAsia="en-US"/>
        </w:rPr>
        <w:t>a</w:t>
      </w:r>
      <w:r w:rsidRPr="001C5AD5">
        <w:rPr>
          <w:rFonts w:ascii="Gill Sans MT" w:eastAsia="Times New Roman" w:hAnsi="Gill Sans MT" w:cs="Times New Roman"/>
          <w:sz w:val="24"/>
          <w:szCs w:val="24"/>
          <w:lang w:eastAsia="en-US"/>
        </w:rPr>
        <w:t>,</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foto i arhitektonske dokumentacije postojećeg stanja, geomehanička, građevinska i konstruktivna istraživanja i sva ostala predistraživanja, izrada geodetskih elaborata, geotehničkih elaborata, parcelacijskih elaborata i drugih geodetskih elaborata</w:t>
      </w:r>
      <w:r w:rsidR="001C5AD5">
        <w:rPr>
          <w:rFonts w:ascii="Gill Sans MT" w:eastAsia="Times New Roman" w:hAnsi="Gill Sans MT" w:cs="Times New Roman"/>
          <w:sz w:val="24"/>
          <w:szCs w:val="24"/>
          <w:lang w:eastAsia="en-US"/>
        </w:rPr>
        <w:t>;</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priprema dokumentacije o nabavi i provedba postupaka javne nabave radova, usluga i roba za izgradnju, nadogradnju i/ili opremanje postrojenja za obradu biootpada sukladno pravomoćnom aktu na temelju kojeg može započeti izgradnja.</w:t>
      </w:r>
    </w:p>
    <w:p w:rsidR="006D4001" w:rsidRPr="006D4001" w:rsidRDefault="006D4001" w:rsidP="00B410F4">
      <w:pPr>
        <w:numPr>
          <w:ilvl w:val="0"/>
          <w:numId w:val="12"/>
        </w:numPr>
        <w:spacing w:after="60" w:line="240" w:lineRule="auto"/>
        <w:jc w:val="both"/>
        <w:rPr>
          <w:rFonts w:ascii="Gill Sans MT" w:eastAsia="Times New Roman" w:hAnsi="Gill Sans MT" w:cs="Times New Roman"/>
          <w:vanish/>
          <w:sz w:val="24"/>
          <w:szCs w:val="24"/>
          <w:lang w:eastAsia="en-US"/>
        </w:rPr>
      </w:pPr>
      <w:r w:rsidRPr="006D4001">
        <w:rPr>
          <w:rFonts w:ascii="Gill Sans MT" w:eastAsia="Times New Roman" w:hAnsi="Gill Sans MT" w:cs="Times New Roman"/>
          <w:sz w:val="24"/>
          <w:szCs w:val="24"/>
          <w:lang w:eastAsia="en-US"/>
        </w:rPr>
        <w:t>Aktivnosti uspostave postrojenja</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za obradu biootpada, odnosno: </w:t>
      </w:r>
    </w:p>
    <w:p w:rsidR="006D4001" w:rsidRPr="006D4001" w:rsidRDefault="006D4001" w:rsidP="00B410F4">
      <w:pPr>
        <w:numPr>
          <w:ilvl w:val="0"/>
          <w:numId w:val="13"/>
        </w:numPr>
        <w:spacing w:after="0" w:line="240" w:lineRule="auto"/>
        <w:jc w:val="both"/>
        <w:rPr>
          <w:rFonts w:ascii="Gill Sans MT" w:eastAsia="Times New Roman" w:hAnsi="Gill Sans MT" w:cs="Times New Roman"/>
          <w:vanish/>
          <w:sz w:val="24"/>
          <w:szCs w:val="24"/>
          <w:lang w:eastAsia="en-US"/>
        </w:rPr>
      </w:pPr>
    </w:p>
    <w:p w:rsidR="006D4001" w:rsidRPr="006D4001" w:rsidRDefault="006D4001" w:rsidP="00B410F4">
      <w:pPr>
        <w:numPr>
          <w:ilvl w:val="0"/>
          <w:numId w:val="13"/>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 </w:t>
      </w:r>
    </w:p>
    <w:p w:rsidR="006D4001" w:rsidRPr="00B410F4" w:rsidRDefault="001C5AD5"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bookmarkStart w:id="2" w:name="_Hlk25673205"/>
      <w:r>
        <w:rPr>
          <w:rFonts w:ascii="Gill Sans MT" w:eastAsia="Times New Roman" w:hAnsi="Gill Sans MT" w:cs="Times New Roman"/>
          <w:sz w:val="24"/>
          <w:szCs w:val="24"/>
          <w:lang w:eastAsia="en-US"/>
        </w:rPr>
        <w:t>i</w:t>
      </w:r>
      <w:r w:rsidR="006D4001" w:rsidRPr="00B410F4">
        <w:rPr>
          <w:rFonts w:ascii="Gill Sans MT" w:eastAsia="Times New Roman" w:hAnsi="Gill Sans MT" w:cs="Times New Roman"/>
          <w:sz w:val="24"/>
          <w:szCs w:val="24"/>
          <w:lang w:eastAsia="en-US"/>
        </w:rPr>
        <w:t>zgradnje, nadogradnje i/ili opremanja postrojenja</w:t>
      </w:r>
      <w:r w:rsidR="006D4001" w:rsidRPr="00B410F4">
        <w:rPr>
          <w:rFonts w:ascii="Gill Sans MT" w:eastAsia="Times New Roman" w:hAnsi="Gill Sans MT" w:cs="Times New Roman"/>
          <w:sz w:val="24"/>
          <w:lang w:eastAsia="en-US"/>
        </w:rPr>
        <w:t xml:space="preserve"> </w:t>
      </w:r>
      <w:r w:rsidR="006D4001" w:rsidRPr="00B410F4">
        <w:rPr>
          <w:rFonts w:ascii="Gill Sans MT" w:eastAsia="Times New Roman" w:hAnsi="Gill Sans MT" w:cs="Times New Roman"/>
          <w:sz w:val="24"/>
          <w:szCs w:val="24"/>
          <w:lang w:eastAsia="en-US"/>
        </w:rPr>
        <w:t>za recikliranje, u svrhu uspostave novih ili povećanja postojećih kapaciteta za oporabu biootpada</w:t>
      </w:r>
      <w:r w:rsidR="006D4001" w:rsidRPr="00B410F4">
        <w:rPr>
          <w:rFonts w:ascii="Gill Sans MT" w:eastAsia="Times New Roman" w:hAnsi="Gill Sans MT" w:cs="Times New Roman"/>
          <w:sz w:val="24"/>
          <w:szCs w:val="18"/>
          <w:lang w:eastAsia="en-US"/>
        </w:rPr>
        <w:t xml:space="preserve"> u kojima se provodi tehnološki proces </w:t>
      </w:r>
      <w:proofErr w:type="spellStart"/>
      <w:r w:rsidR="006D4001" w:rsidRPr="00B410F4">
        <w:rPr>
          <w:rFonts w:ascii="Gill Sans MT" w:eastAsia="Times New Roman" w:hAnsi="Gill Sans MT" w:cs="Times New Roman"/>
          <w:sz w:val="24"/>
          <w:szCs w:val="18"/>
          <w:lang w:eastAsia="en-US"/>
        </w:rPr>
        <w:t>kompostiranja</w:t>
      </w:r>
      <w:proofErr w:type="spellEnd"/>
      <w:r w:rsidR="006D4001" w:rsidRPr="00B410F4">
        <w:rPr>
          <w:rFonts w:ascii="Gill Sans MT" w:eastAsia="Times New Roman" w:hAnsi="Gill Sans MT" w:cs="Times New Roman"/>
          <w:sz w:val="24"/>
          <w:szCs w:val="18"/>
          <w:lang w:eastAsia="en-US"/>
        </w:rPr>
        <w:t xml:space="preserve"> s ciljem proizvodnje komposta</w:t>
      </w:r>
      <w:bookmarkEnd w:id="2"/>
      <w:r w:rsidR="00B410F4" w:rsidRPr="00B410F4">
        <w:rPr>
          <w:rFonts w:ascii="Gill Sans MT" w:eastAsia="Times New Roman" w:hAnsi="Gill Sans MT" w:cs="Times New Roman"/>
          <w:sz w:val="24"/>
          <w:szCs w:val="18"/>
          <w:lang w:eastAsia="en-US"/>
        </w:rPr>
        <w:t xml:space="preserve">, </w:t>
      </w:r>
      <w:r w:rsidR="006D4001" w:rsidRPr="00B410F4">
        <w:rPr>
          <w:rFonts w:ascii="Gill Sans MT" w:eastAsia="Times New Roman" w:hAnsi="Gill Sans MT" w:cs="Times New Roman"/>
          <w:b/>
          <w:sz w:val="24"/>
          <w:szCs w:val="24"/>
          <w:lang w:eastAsia="en-US"/>
        </w:rPr>
        <w:t>ili</w:t>
      </w:r>
      <w:r w:rsidR="006D4001" w:rsidRPr="00B410F4">
        <w:rPr>
          <w:rFonts w:ascii="Gill Sans MT" w:eastAsia="Times New Roman" w:hAnsi="Gill Sans MT" w:cs="Times New Roman"/>
          <w:sz w:val="24"/>
          <w:szCs w:val="24"/>
          <w:lang w:eastAsia="en-US"/>
        </w:rPr>
        <w:t xml:space="preserve"> </w:t>
      </w:r>
    </w:p>
    <w:p w:rsidR="006D4001" w:rsidRPr="006D4001" w:rsidRDefault="006D4001"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izgradnje i opremanja novih postrojenja za proizvodnju OIE,</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u svrhu uspostave kapaciteta za oporabu biootpada, u kojima se provodi tehnološki proces anaerobne digestije, s ciljem proizvodnje anaerobnog </w:t>
      </w:r>
      <w:proofErr w:type="spellStart"/>
      <w:r w:rsidRPr="006D4001">
        <w:rPr>
          <w:rFonts w:ascii="Gill Sans MT" w:eastAsia="Times New Roman" w:hAnsi="Gill Sans MT" w:cs="Times New Roman"/>
          <w:sz w:val="24"/>
          <w:szCs w:val="24"/>
          <w:lang w:eastAsia="en-US"/>
        </w:rPr>
        <w:t>digestasta</w:t>
      </w:r>
      <w:proofErr w:type="spellEnd"/>
      <w:r w:rsidRPr="006D4001">
        <w:rPr>
          <w:rFonts w:ascii="Gill Sans MT" w:eastAsia="Times New Roman" w:hAnsi="Gill Sans MT" w:cs="Times New Roman"/>
          <w:sz w:val="24"/>
          <w:szCs w:val="24"/>
          <w:lang w:eastAsia="en-US"/>
        </w:rPr>
        <w:t xml:space="preserve"> i bioplina, odnosno </w:t>
      </w:r>
      <w:proofErr w:type="spellStart"/>
      <w:r w:rsidRPr="006D4001">
        <w:rPr>
          <w:rFonts w:ascii="Gill Sans MT" w:eastAsia="Times New Roman" w:hAnsi="Gill Sans MT" w:cs="Times New Roman"/>
          <w:sz w:val="24"/>
          <w:szCs w:val="24"/>
          <w:lang w:eastAsia="en-US"/>
        </w:rPr>
        <w:t>biogoriva</w:t>
      </w:r>
      <w:proofErr w:type="spellEnd"/>
    </w:p>
    <w:p w:rsidR="006D4001" w:rsidRPr="006D4001" w:rsidRDefault="006D4001" w:rsidP="00B410F4">
      <w:p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Navedeno pod a) i b) uključuje sljedeće </w:t>
      </w:r>
      <w:proofErr w:type="spellStart"/>
      <w:r w:rsidRPr="006D4001">
        <w:rPr>
          <w:rFonts w:ascii="Gill Sans MT" w:eastAsia="Times New Roman" w:hAnsi="Gill Sans MT" w:cs="Times New Roman"/>
          <w:sz w:val="24"/>
          <w:szCs w:val="24"/>
          <w:lang w:eastAsia="en-US"/>
        </w:rPr>
        <w:t>podaktivnosti</w:t>
      </w:r>
      <w:proofErr w:type="spellEnd"/>
      <w:r w:rsidRPr="006D4001">
        <w:rPr>
          <w:rFonts w:ascii="Gill Sans MT" w:eastAsia="Times New Roman" w:hAnsi="Gill Sans MT" w:cs="Times New Roman"/>
          <w:sz w:val="24"/>
          <w:szCs w:val="24"/>
          <w:lang w:eastAsia="en-US"/>
        </w:rPr>
        <w:t xml:space="preserve">: </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izvedbu građevinskih, strojarskih, elektrotehničkih, obrtničkih i svih dr</w:t>
      </w:r>
      <w:r w:rsidR="001C5AD5">
        <w:rPr>
          <w:rFonts w:ascii="Gill Sans MT" w:eastAsia="Times New Roman" w:hAnsi="Gill Sans MT" w:cs="Times New Roman"/>
          <w:sz w:val="24"/>
          <w:szCs w:val="24"/>
          <w:lang w:eastAsia="en-US"/>
        </w:rPr>
        <w:t xml:space="preserve">. </w:t>
      </w:r>
      <w:r w:rsidRPr="006D4001">
        <w:rPr>
          <w:rFonts w:ascii="Gill Sans MT" w:eastAsia="Times New Roman" w:hAnsi="Gill Sans MT" w:cs="Times New Roman"/>
          <w:sz w:val="24"/>
          <w:szCs w:val="24"/>
          <w:lang w:eastAsia="en-US"/>
        </w:rPr>
        <w:t xml:space="preserve">radova potrebnih za stavljanje postrojenja u funkciju u skladu s pravomoćnim aktom na temelju kojeg može započeti izgradnja, nadogradnja, i/ili opremanje postrojenja (pripremni, zemljani, instalaterski i završni radovi, te ugradnja građevnih proizvoda, uređaja, opreme i postrojenja), </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nabavu pokretne opreme, koja se ne ugrađuje, a koja je potrebna za obavljanje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priključivanje na komunalnu infrastrukturu i izgradnja  pristupne ceste od javne ceste pristupne ceste ako se koristi isključivo za potrebe pristupa postrojenju za obradu biootpada, </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digitalizaciju praćenja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sve ostale neophodne aktivnosti propisane zakonom u svrhu ishođenja uporabne dozvole za postrojenje za obradu biootpada.</w:t>
      </w:r>
    </w:p>
    <w:p w:rsid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projektantskog nadzora te aktivnosti stručnog nadzora građenja koji provodi nadzorni inženjer u skladu s Zakonom o gradnji (NN 153/13, 20/17, 39/19, 125/19) te koordinacija zaštite na radu u fazi izvođenja radova. </w:t>
      </w:r>
    </w:p>
    <w:p w:rsidR="00EA798C" w:rsidRPr="00EA798C" w:rsidRDefault="00EA798C" w:rsidP="00B410F4">
      <w:pPr>
        <w:numPr>
          <w:ilvl w:val="0"/>
          <w:numId w:val="12"/>
        </w:numPr>
        <w:spacing w:after="120" w:line="240" w:lineRule="auto"/>
        <w:jc w:val="both"/>
        <w:rPr>
          <w:rFonts w:ascii="Gill Sans MT" w:eastAsia="Times New Roman" w:hAnsi="Gill Sans MT" w:cs="Times New Roman"/>
          <w:sz w:val="24"/>
          <w:szCs w:val="24"/>
          <w:lang w:eastAsia="en-US"/>
        </w:rPr>
      </w:pPr>
      <w:r w:rsidRPr="00EA798C">
        <w:rPr>
          <w:rFonts w:ascii="Gill Sans MT" w:eastAsia="Times New Roman" w:hAnsi="Gill Sans MT" w:cs="Times New Roman"/>
          <w:sz w:val="24"/>
          <w:szCs w:val="24"/>
          <w:lang w:eastAsia="en-US"/>
        </w:rPr>
        <w:t xml:space="preserve">Usluga vođenja projekta sukladno Zakonu o poslovima i djelatnostima prostornog uređenja i gradnje (NN 78/15 i 118/18, </w:t>
      </w:r>
      <w:r>
        <w:rPr>
          <w:rFonts w:ascii="Gill Sans MT" w:eastAsia="Times New Roman" w:hAnsi="Gill Sans MT" w:cs="Times New Roman"/>
          <w:sz w:val="24"/>
          <w:szCs w:val="24"/>
          <w:lang w:eastAsia="en-US"/>
        </w:rPr>
        <w:t>110/19</w:t>
      </w:r>
      <w:r w:rsidRPr="00EA798C">
        <w:rPr>
          <w:rFonts w:ascii="Gill Sans MT" w:eastAsia="Times New Roman" w:hAnsi="Gill Sans MT" w:cs="Times New Roman"/>
          <w:sz w:val="24"/>
          <w:szCs w:val="24"/>
          <w:lang w:eastAsia="en-US"/>
        </w:rPr>
        <w:t>)</w:t>
      </w:r>
      <w:r w:rsidR="005E10E7">
        <w:rPr>
          <w:rFonts w:ascii="Gill Sans MT" w:eastAsia="Times New Roman" w:hAnsi="Gill Sans MT" w:cs="Times New Roman"/>
          <w:sz w:val="24"/>
          <w:szCs w:val="24"/>
          <w:lang w:eastAsia="en-US"/>
        </w:rPr>
        <w:t>.</w:t>
      </w:r>
    </w:p>
    <w:p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informiranja i vidljivosti projekta, te aktivnosti vezane uz provođenje mjera kojima se postiže povećanje svijesti javnosti o odvojenom sakupljanju i/ili obradi odvojeno sakupljenog biootpada i/ili recikliranju otpada i/ili ponovnoj uporabi:</w:t>
      </w:r>
    </w:p>
    <w:p w:rsidR="006D4001" w:rsidRPr="006D4001" w:rsidRDefault="006D4001" w:rsidP="00B410F4">
      <w:pPr>
        <w:numPr>
          <w:ilvl w:val="0"/>
          <w:numId w:val="11"/>
        </w:numPr>
        <w:spacing w:after="12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za sprječavanje nastanka biootpada, odvojeno sakupljanje biootpada i </w:t>
      </w:r>
      <w:proofErr w:type="spellStart"/>
      <w:r w:rsidRPr="006D4001">
        <w:rPr>
          <w:rFonts w:ascii="Gill Sans MT" w:eastAsia="Times New Roman" w:hAnsi="Gill Sans MT" w:cs="Times New Roman"/>
          <w:sz w:val="24"/>
          <w:szCs w:val="24"/>
          <w:lang w:eastAsia="en-US"/>
        </w:rPr>
        <w:t>kompostiranje</w:t>
      </w:r>
      <w:proofErr w:type="spellEnd"/>
      <w:r w:rsidRPr="006D4001">
        <w:rPr>
          <w:rFonts w:ascii="Gill Sans MT" w:eastAsia="Times New Roman" w:hAnsi="Gill Sans MT" w:cs="Times New Roman"/>
          <w:sz w:val="24"/>
          <w:szCs w:val="24"/>
          <w:lang w:eastAsia="en-US"/>
        </w:rPr>
        <w:t>, uključujući i za strane turiste, i</w:t>
      </w:r>
    </w:p>
    <w:p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o postupcima biološke obrade odvojeno sakupljenog biootpada u kojima se pružaju informacije o postrojenjima za obradu biootpada i vezanim tehnološkim procesima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 anaerobne digestije.  </w:t>
      </w:r>
    </w:p>
    <w:p w:rsidR="006D4001" w:rsidRP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kojima se osigurava usklađenost projekta s horizontalnim politikama EU o ravnopravnosti spolova, nediskriminaciji i pristupa</w:t>
      </w:r>
      <w:r w:rsidR="00B339F9">
        <w:rPr>
          <w:rFonts w:ascii="Gill Sans MT" w:eastAsia="Times New Roman" w:hAnsi="Gill Sans MT" w:cs="Times New Roman"/>
          <w:sz w:val="24"/>
          <w:szCs w:val="24"/>
          <w:lang w:eastAsia="en-US"/>
        </w:rPr>
        <w:t xml:space="preserve">čnosti za osobe s invaliditetom. </w:t>
      </w:r>
    </w:p>
    <w:p w:rsidR="006D4001" w:rsidRPr="001C5AD5" w:rsidRDefault="006D4001" w:rsidP="001C5AD5">
      <w:pPr>
        <w:numPr>
          <w:ilvl w:val="0"/>
          <w:numId w:val="12"/>
        </w:numPr>
        <w:spacing w:after="120" w:line="240" w:lineRule="auto"/>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 xml:space="preserve">Aktivnosti upravljanja projektom i administracije obuhvaćaju prihvatljive </w:t>
      </w:r>
      <w:proofErr w:type="spellStart"/>
      <w:r w:rsidRPr="001C5AD5">
        <w:rPr>
          <w:rFonts w:ascii="Gill Sans MT" w:eastAsia="Times New Roman" w:hAnsi="Gill Sans MT" w:cs="Times New Roman"/>
          <w:sz w:val="24"/>
          <w:szCs w:val="24"/>
          <w:lang w:eastAsia="en-US"/>
        </w:rPr>
        <w:t>podaktivnosti</w:t>
      </w:r>
      <w:proofErr w:type="spellEnd"/>
      <w:r w:rsidRPr="001C5AD5">
        <w:rPr>
          <w:rFonts w:ascii="Gill Sans MT" w:eastAsia="Times New Roman" w:hAnsi="Gill Sans MT" w:cs="Times New Roman"/>
          <w:sz w:val="24"/>
          <w:szCs w:val="24"/>
          <w:lang w:eastAsia="en-US"/>
        </w:rPr>
        <w:t xml:space="preserve"> za provedbu projekta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upravljanje aktivnostima projekta,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administracija i tehnička koordinacija,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provedba odgovarajućih postupaka javne nabave,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financijsko upravljanje,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izvještavanje,</w:t>
      </w:r>
      <w:r w:rsidR="001C5AD5" w:rsidRPr="001C5AD5">
        <w:rPr>
          <w:rFonts w:ascii="Gill Sans MT" w:eastAsia="Times New Roman" w:hAnsi="Gill Sans MT" w:cs="Times New Roman"/>
          <w:sz w:val="24"/>
          <w:szCs w:val="24"/>
          <w:lang w:eastAsia="en-US"/>
        </w:rPr>
        <w:t xml:space="preserve"> </w:t>
      </w:r>
      <w:r w:rsidR="001C5AD5">
        <w:rPr>
          <w:rFonts w:ascii="Gill Sans MT" w:eastAsia="Times New Roman" w:hAnsi="Gill Sans MT" w:cs="Times New Roman"/>
          <w:sz w:val="24"/>
          <w:szCs w:val="24"/>
          <w:lang w:eastAsia="en-US"/>
        </w:rPr>
        <w:t xml:space="preserve">te </w:t>
      </w:r>
      <w:r w:rsidRPr="001C5AD5">
        <w:rPr>
          <w:rFonts w:ascii="Gill Sans MT" w:eastAsia="Times New Roman" w:hAnsi="Gill Sans MT" w:cs="Times New Roman"/>
          <w:sz w:val="24"/>
          <w:szCs w:val="24"/>
          <w:lang w:eastAsia="en-US"/>
        </w:rPr>
        <w:t>ostale aktivnosti u vezi s upravljanjem projektom.</w:t>
      </w:r>
    </w:p>
    <w:p w:rsidR="00AA053D" w:rsidRPr="00B339F9" w:rsidRDefault="00AA053D" w:rsidP="00B410F4">
      <w:pPr>
        <w:spacing w:after="0" w:line="240" w:lineRule="auto"/>
        <w:jc w:val="both"/>
        <w:rPr>
          <w:rFonts w:ascii="Gill Sans MT" w:eastAsia="Times New Roman" w:hAnsi="Gill Sans MT" w:cs="Times New Roman"/>
          <w:sz w:val="24"/>
          <w:szCs w:val="24"/>
          <w:lang w:eastAsia="en-US"/>
        </w:rPr>
      </w:pPr>
      <w:r w:rsidRPr="00B339F9">
        <w:rPr>
          <w:rFonts w:ascii="Gill Sans MT" w:eastAsia="Times New Roman" w:hAnsi="Gill Sans MT" w:cs="Times New Roman"/>
          <w:sz w:val="24"/>
          <w:szCs w:val="24"/>
          <w:lang w:eastAsia="en-US"/>
        </w:rPr>
        <w:t xml:space="preserve">Navedeno ne predstavlja iscrpnu listu, već može uključivati i sve ostale aktivnosti i dokumentaciju potrebnu za izvođenje/realizaciju projekta. </w:t>
      </w:r>
    </w:p>
    <w:p w:rsidR="00EE0BCC" w:rsidRPr="006D4001" w:rsidRDefault="00EE0BCC" w:rsidP="00B410F4">
      <w:pPr>
        <w:tabs>
          <w:tab w:val="center" w:pos="4320"/>
          <w:tab w:val="right" w:pos="8640"/>
        </w:tabs>
        <w:spacing w:after="0" w:line="240" w:lineRule="auto"/>
        <w:jc w:val="both"/>
        <w:rPr>
          <w:rFonts w:ascii="Gill Sans MT" w:eastAsia="Times New Roman" w:hAnsi="Gill Sans MT" w:cs="Times New Roman"/>
          <w:bCs/>
          <w:sz w:val="24"/>
          <w:szCs w:val="24"/>
          <w:lang w:eastAsia="ar-SA"/>
        </w:rPr>
      </w:pPr>
    </w:p>
    <w:p w:rsidR="001656E7" w:rsidRPr="009D02FB"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3" w:name="_Hlk9090871"/>
    </w:p>
    <w:p w:rsidR="008F0FA4" w:rsidRPr="00655540" w:rsidRDefault="008F0FA4" w:rsidP="00B410F4">
      <w:pPr>
        <w:spacing w:after="0" w:line="240" w:lineRule="auto"/>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3"/>
      <w:r w:rsidR="00542801" w:rsidRPr="00542801">
        <w:rPr>
          <w:rFonts w:ascii="Gill Sans MT" w:eastAsia="Times New Roman" w:hAnsi="Gill Sans MT" w:cs="Times New Roman"/>
          <w:sz w:val="24"/>
          <w:szCs w:val="24"/>
          <w:lang w:eastAsia="en-US"/>
        </w:rPr>
        <w:t>.</w:t>
      </w:r>
    </w:p>
    <w:p w:rsidR="008F0FA4" w:rsidRPr="00542801" w:rsidRDefault="008F0FA4" w:rsidP="00B410F4">
      <w:pPr>
        <w:pStyle w:val="Odlomakpopisa"/>
        <w:tabs>
          <w:tab w:val="center" w:pos="4320"/>
          <w:tab w:val="right" w:pos="8640"/>
        </w:tabs>
        <w:spacing w:after="0" w:line="240" w:lineRule="auto"/>
        <w:jc w:val="both"/>
        <w:rPr>
          <w:rFonts w:ascii="Gill Sans MT" w:eastAsia="Times New Roman" w:hAnsi="Gill Sans MT" w:cs="Times New Roman"/>
          <w:bCs/>
          <w:sz w:val="24"/>
          <w:szCs w:val="24"/>
          <w:lang w:eastAsia="ar-SA"/>
        </w:rPr>
      </w:pPr>
    </w:p>
    <w:p w:rsidR="005E0C57" w:rsidRPr="005E0C57" w:rsidRDefault="005E0C57" w:rsidP="00B410F4">
      <w:pPr>
        <w:pStyle w:val="Odlomakpopisa"/>
        <w:numPr>
          <w:ilvl w:val="0"/>
          <w:numId w:val="3"/>
        </w:numPr>
        <w:tabs>
          <w:tab w:val="left" w:pos="7590"/>
        </w:tabs>
        <w:spacing w:after="120" w:line="240" w:lineRule="auto"/>
        <w:ind w:left="284" w:hanging="284"/>
        <w:jc w:val="both"/>
        <w:rPr>
          <w:rFonts w:ascii="Gill Sans MT" w:hAnsi="Gill Sans MT" w:cs="Times New Roman"/>
          <w:bCs/>
          <w:sz w:val="24"/>
          <w:szCs w:val="24"/>
        </w:rPr>
      </w:pPr>
      <w:r w:rsidRPr="005E0C57">
        <w:rPr>
          <w:rFonts w:ascii="Gill Sans MT" w:hAnsi="Gill Sans MT" w:cs="Times New Roman"/>
          <w:b/>
          <w:bCs/>
          <w:sz w:val="24"/>
          <w:szCs w:val="24"/>
        </w:rPr>
        <w:t xml:space="preserve">Administrativni podaci </w:t>
      </w:r>
    </w:p>
    <w:p w:rsidR="005E0C57" w:rsidRPr="005E0C57" w:rsidRDefault="005E0C57" w:rsidP="00B410F4">
      <w:pPr>
        <w:tabs>
          <w:tab w:val="left" w:pos="7590"/>
        </w:tabs>
        <w:spacing w:after="120" w:line="240" w:lineRule="auto"/>
        <w:jc w:val="both"/>
        <w:rPr>
          <w:rFonts w:ascii="Gill Sans MT" w:hAnsi="Gill Sans MT" w:cs="Times New Roman"/>
          <w:sz w:val="24"/>
          <w:szCs w:val="24"/>
        </w:rPr>
      </w:pPr>
      <w:r w:rsidRPr="005E0C57">
        <w:rPr>
          <w:rFonts w:ascii="Gill Sans MT" w:hAnsi="Gill Sans MT" w:cs="Times New Roman"/>
          <w:b/>
          <w:sz w:val="24"/>
          <w:szCs w:val="24"/>
        </w:rPr>
        <w:t>Krajnji rok za dostavu</w:t>
      </w:r>
      <w:r w:rsidRPr="005E0C57">
        <w:rPr>
          <w:rFonts w:ascii="Gill Sans MT" w:hAnsi="Gill Sans MT" w:cs="Times New Roman"/>
          <w:sz w:val="24"/>
          <w:szCs w:val="24"/>
        </w:rPr>
        <w:t xml:space="preserve"> projektnih prijedloga je </w:t>
      </w:r>
      <w:r>
        <w:rPr>
          <w:rFonts w:ascii="Gill Sans MT" w:hAnsi="Gill Sans MT" w:cs="Times New Roman"/>
          <w:sz w:val="24"/>
          <w:szCs w:val="24"/>
        </w:rPr>
        <w:t>31</w:t>
      </w:r>
      <w:r w:rsidRPr="005E0C57">
        <w:rPr>
          <w:rFonts w:ascii="Gill Sans MT" w:hAnsi="Gill Sans MT" w:cs="Times New Roman"/>
          <w:sz w:val="24"/>
          <w:szCs w:val="24"/>
        </w:rPr>
        <w:t>.</w:t>
      </w:r>
      <w:r>
        <w:rPr>
          <w:rFonts w:ascii="Gill Sans MT" w:hAnsi="Gill Sans MT" w:cs="Times New Roman"/>
          <w:sz w:val="24"/>
          <w:szCs w:val="24"/>
        </w:rPr>
        <w:t xml:space="preserve"> listopada</w:t>
      </w:r>
      <w:r w:rsidRPr="005E0C57">
        <w:rPr>
          <w:rFonts w:ascii="Gill Sans MT" w:hAnsi="Gill Sans MT" w:cs="Times New Roman"/>
          <w:sz w:val="24"/>
          <w:szCs w:val="24"/>
        </w:rPr>
        <w:t xml:space="preserve"> 202</w:t>
      </w:r>
      <w:r>
        <w:rPr>
          <w:rFonts w:ascii="Gill Sans MT" w:hAnsi="Gill Sans MT" w:cs="Times New Roman"/>
          <w:sz w:val="24"/>
          <w:szCs w:val="24"/>
        </w:rPr>
        <w:t>3</w:t>
      </w:r>
      <w:r w:rsidRPr="005E0C57">
        <w:rPr>
          <w:rFonts w:ascii="Gill Sans MT" w:hAnsi="Gill Sans MT" w:cs="Times New Roman"/>
          <w:sz w:val="24"/>
          <w:szCs w:val="24"/>
        </w:rPr>
        <w:t xml:space="preserve">. godine </w:t>
      </w:r>
      <w:r>
        <w:rPr>
          <w:rFonts w:ascii="Gill Sans MT" w:hAnsi="Gill Sans MT" w:cs="Times New Roman"/>
          <w:sz w:val="24"/>
          <w:szCs w:val="24"/>
        </w:rPr>
        <w:t xml:space="preserve">do 14:00 sati </w:t>
      </w:r>
      <w:r w:rsidRPr="005E0C57">
        <w:rPr>
          <w:rFonts w:ascii="Gill Sans MT" w:hAnsi="Gill Sans MT" w:cs="Times New Roman"/>
          <w:sz w:val="24"/>
          <w:szCs w:val="24"/>
        </w:rPr>
        <w:t>ili do iskorištenja raspoloživih sredstava.</w:t>
      </w:r>
      <w:r w:rsidR="00B410F4">
        <w:rPr>
          <w:rFonts w:ascii="Gill Sans MT" w:hAnsi="Gill Sans MT" w:cs="Times New Roman"/>
          <w:sz w:val="24"/>
          <w:szCs w:val="24"/>
        </w:rPr>
        <w:t xml:space="preserve"> </w:t>
      </w:r>
      <w:r w:rsidRPr="005E0C57">
        <w:rPr>
          <w:rFonts w:ascii="Gill Sans MT" w:hAnsi="Gill Sans MT" w:cs="Times New Roman"/>
          <w:b/>
          <w:sz w:val="24"/>
          <w:szCs w:val="24"/>
        </w:rPr>
        <w:t>Dostava (podnošenje)</w:t>
      </w:r>
      <w:r w:rsidRPr="005E0C57">
        <w:rPr>
          <w:rFonts w:ascii="Gill Sans MT" w:hAnsi="Gill Sans MT" w:cs="Times New Roman"/>
          <w:sz w:val="24"/>
          <w:szCs w:val="24"/>
        </w:rPr>
        <w:t xml:space="preserve"> projektnog prijedloga dozvoljena je najranije od 13. lipnja 2022. </w:t>
      </w:r>
      <w:r>
        <w:rPr>
          <w:rFonts w:ascii="Gill Sans MT" w:hAnsi="Gill Sans MT" w:cs="Times New Roman"/>
          <w:sz w:val="24"/>
          <w:szCs w:val="24"/>
        </w:rPr>
        <w:t>od 09:00 sati.</w:t>
      </w:r>
    </w:p>
    <w:p w:rsidR="00EA17C2" w:rsidRPr="00542801" w:rsidRDefault="003459DB" w:rsidP="00B410F4">
      <w:pPr>
        <w:tabs>
          <w:tab w:val="left" w:pos="7590"/>
        </w:tabs>
        <w:spacing w:after="0" w:line="240" w:lineRule="auto"/>
        <w:jc w:val="both"/>
        <w:rPr>
          <w:rFonts w:ascii="Gill Sans MT" w:hAnsi="Gill Sans MT" w:cs="Times New Roman"/>
          <w:sz w:val="24"/>
          <w:szCs w:val="24"/>
        </w:rPr>
      </w:pPr>
      <w:r w:rsidRPr="00542801">
        <w:rPr>
          <w:rFonts w:ascii="Gill Sans MT" w:hAnsi="Gill Sans MT" w:cs="Times New Roman"/>
          <w:sz w:val="24"/>
          <w:szCs w:val="24"/>
        </w:rPr>
        <w:tab/>
      </w:r>
    </w:p>
    <w:sectPr w:rsidR="00EA17C2" w:rsidRPr="00542801" w:rsidSect="001C5AD5">
      <w:headerReference w:type="default" r:id="rId10"/>
      <w:footerReference w:type="default" r:id="rId11"/>
      <w:footerReference w:type="first" r:id="rId12"/>
      <w:pgSz w:w="11906" w:h="16838"/>
      <w:pgMar w:top="972" w:right="1417" w:bottom="709" w:left="1417" w:header="568"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F3" w:rsidRDefault="00533AF3" w:rsidP="005B0573">
      <w:pPr>
        <w:spacing w:after="0" w:line="240" w:lineRule="auto"/>
      </w:pPr>
      <w:r>
        <w:separator/>
      </w:r>
    </w:p>
  </w:endnote>
  <w:endnote w:type="continuationSeparator" w:id="0">
    <w:p w:rsidR="00533AF3" w:rsidRDefault="00533AF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6870840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1C5AD5" w:rsidRDefault="001C5AD5">
            <w:pPr>
              <w:pStyle w:val="Podnoje"/>
              <w:jc w:val="center"/>
              <w:rPr>
                <w:sz w:val="20"/>
              </w:rPr>
            </w:pPr>
          </w:p>
          <w:p w:rsidR="001C5AD5" w:rsidRPr="001C5AD5" w:rsidRDefault="001C5AD5">
            <w:pPr>
              <w:pStyle w:val="Podnoje"/>
              <w:jc w:val="center"/>
              <w:rPr>
                <w:sz w:val="20"/>
              </w:rPr>
            </w:pPr>
            <w:r w:rsidRPr="001C5AD5">
              <w:rPr>
                <w:bCs/>
                <w:szCs w:val="24"/>
              </w:rPr>
              <w:fldChar w:fldCharType="begin"/>
            </w:r>
            <w:r w:rsidRPr="001C5AD5">
              <w:rPr>
                <w:bCs/>
                <w:sz w:val="20"/>
              </w:rPr>
              <w:instrText>PAGE</w:instrText>
            </w:r>
            <w:r w:rsidRPr="001C5AD5">
              <w:rPr>
                <w:bCs/>
                <w:szCs w:val="24"/>
              </w:rPr>
              <w:fldChar w:fldCharType="separate"/>
            </w:r>
            <w:r w:rsidR="00C82B1A">
              <w:rPr>
                <w:bCs/>
                <w:noProof/>
                <w:sz w:val="20"/>
              </w:rPr>
              <w:t>6</w:t>
            </w:r>
            <w:r w:rsidRPr="001C5AD5">
              <w:rPr>
                <w:bCs/>
                <w:szCs w:val="24"/>
              </w:rPr>
              <w:fldChar w:fldCharType="end"/>
            </w:r>
            <w:r w:rsidRPr="001C5AD5">
              <w:rPr>
                <w:bCs/>
                <w:szCs w:val="24"/>
              </w:rPr>
              <w:t>/</w:t>
            </w:r>
            <w:r w:rsidRPr="001C5AD5">
              <w:rPr>
                <w:bCs/>
                <w:szCs w:val="24"/>
              </w:rPr>
              <w:fldChar w:fldCharType="begin"/>
            </w:r>
            <w:r w:rsidRPr="001C5AD5">
              <w:rPr>
                <w:bCs/>
                <w:sz w:val="20"/>
              </w:rPr>
              <w:instrText>NUMPAGES</w:instrText>
            </w:r>
            <w:r w:rsidRPr="001C5AD5">
              <w:rPr>
                <w:bCs/>
                <w:szCs w:val="24"/>
              </w:rPr>
              <w:fldChar w:fldCharType="separate"/>
            </w:r>
            <w:r w:rsidR="00C82B1A">
              <w:rPr>
                <w:bCs/>
                <w:noProof/>
                <w:sz w:val="20"/>
              </w:rPr>
              <w:t>6</w:t>
            </w:r>
            <w:r w:rsidRPr="001C5AD5">
              <w:rPr>
                <w:bCs/>
                <w:szCs w:val="24"/>
              </w:rPr>
              <w:fldChar w:fldCharType="end"/>
            </w:r>
          </w:p>
        </w:sdtContent>
      </w:sdt>
    </w:sdtContent>
  </w:sdt>
  <w:p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F3" w:rsidRDefault="00533AF3" w:rsidP="005B0573">
      <w:pPr>
        <w:spacing w:after="0" w:line="240" w:lineRule="auto"/>
      </w:pPr>
      <w:r>
        <w:separator/>
      </w:r>
    </w:p>
  </w:footnote>
  <w:footnote w:type="continuationSeparator" w:id="0">
    <w:p w:rsidR="00533AF3" w:rsidRDefault="00533AF3"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79" w:rsidRDefault="00E03939" w:rsidP="00515A6A">
    <w:pPr>
      <w:pStyle w:val="Zaglavlje"/>
      <w:tabs>
        <w:tab w:val="clear" w:pos="4536"/>
        <w:tab w:val="clear" w:pos="9072"/>
        <w:tab w:val="left" w:pos="2175"/>
        <w:tab w:val="left" w:pos="4169"/>
        <w:tab w:val="left" w:pos="5375"/>
        <w:tab w:val="left" w:pos="6681"/>
      </w:tabs>
    </w:pPr>
    <w:r>
      <w:tab/>
    </w:r>
    <w:r w:rsidR="00515A6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00AE2"/>
    <w:multiLevelType w:val="hybridMultilevel"/>
    <w:tmpl w:val="E390A7DE"/>
    <w:lvl w:ilvl="0" w:tplc="590480A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E73A6A"/>
    <w:multiLevelType w:val="hybridMultilevel"/>
    <w:tmpl w:val="55B42C1C"/>
    <w:lvl w:ilvl="0" w:tplc="041A0001">
      <w:start w:val="1"/>
      <w:numFmt w:val="bullet"/>
      <w:lvlText w:val=""/>
      <w:lvlJc w:val="left"/>
      <w:pPr>
        <w:ind w:left="720" w:hanging="360"/>
      </w:pPr>
      <w:rPr>
        <w:rFonts w:ascii="Symbol" w:hAnsi="Symbo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6F6F84"/>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1"/>
  </w:num>
  <w:num w:numId="2">
    <w:abstractNumId w:val="15"/>
  </w:num>
  <w:num w:numId="3">
    <w:abstractNumId w:val="17"/>
  </w:num>
  <w:num w:numId="4">
    <w:abstractNumId w:val="0"/>
  </w:num>
  <w:num w:numId="5">
    <w:abstractNumId w:val="7"/>
  </w:num>
  <w:num w:numId="6">
    <w:abstractNumId w:val="12"/>
  </w:num>
  <w:num w:numId="7">
    <w:abstractNumId w:val="8"/>
  </w:num>
  <w:num w:numId="8">
    <w:abstractNumId w:val="10"/>
  </w:num>
  <w:num w:numId="9">
    <w:abstractNumId w:val="16"/>
  </w:num>
  <w:num w:numId="10">
    <w:abstractNumId w:val="18"/>
  </w:num>
  <w:num w:numId="11">
    <w:abstractNumId w:val="13"/>
  </w:num>
  <w:num w:numId="12">
    <w:abstractNumId w:val="4"/>
  </w:num>
  <w:num w:numId="13">
    <w:abstractNumId w:val="14"/>
  </w:num>
  <w:num w:numId="14">
    <w:abstractNumId w:val="6"/>
  </w:num>
  <w:num w:numId="15">
    <w:abstractNumId w:val="3"/>
  </w:num>
  <w:num w:numId="16">
    <w:abstractNumId w:val="9"/>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524BE"/>
    <w:rsid w:val="000554C2"/>
    <w:rsid w:val="00072D70"/>
    <w:rsid w:val="00096BEA"/>
    <w:rsid w:val="000B2BDB"/>
    <w:rsid w:val="000E02DE"/>
    <w:rsid w:val="000E1F26"/>
    <w:rsid w:val="001000F9"/>
    <w:rsid w:val="00106D62"/>
    <w:rsid w:val="001120CB"/>
    <w:rsid w:val="0012025A"/>
    <w:rsid w:val="001223EB"/>
    <w:rsid w:val="001366DE"/>
    <w:rsid w:val="001516D1"/>
    <w:rsid w:val="0015724A"/>
    <w:rsid w:val="001656E7"/>
    <w:rsid w:val="00194283"/>
    <w:rsid w:val="001A5364"/>
    <w:rsid w:val="001B1428"/>
    <w:rsid w:val="001C0065"/>
    <w:rsid w:val="001C5AD5"/>
    <w:rsid w:val="001E5546"/>
    <w:rsid w:val="00200793"/>
    <w:rsid w:val="00207DC4"/>
    <w:rsid w:val="002127DA"/>
    <w:rsid w:val="00227485"/>
    <w:rsid w:val="00234790"/>
    <w:rsid w:val="00274300"/>
    <w:rsid w:val="00295613"/>
    <w:rsid w:val="002B0CF7"/>
    <w:rsid w:val="002B5F69"/>
    <w:rsid w:val="002C4A89"/>
    <w:rsid w:val="003020DC"/>
    <w:rsid w:val="00330FC1"/>
    <w:rsid w:val="0033198F"/>
    <w:rsid w:val="003418E7"/>
    <w:rsid w:val="003459DB"/>
    <w:rsid w:val="00351E3E"/>
    <w:rsid w:val="003521EE"/>
    <w:rsid w:val="00392DD3"/>
    <w:rsid w:val="003C0590"/>
    <w:rsid w:val="003C257E"/>
    <w:rsid w:val="003D5B3F"/>
    <w:rsid w:val="003E2B1B"/>
    <w:rsid w:val="00401337"/>
    <w:rsid w:val="0040178A"/>
    <w:rsid w:val="0042151D"/>
    <w:rsid w:val="00440612"/>
    <w:rsid w:val="00484B13"/>
    <w:rsid w:val="00492683"/>
    <w:rsid w:val="004A6B12"/>
    <w:rsid w:val="004B1D87"/>
    <w:rsid w:val="004D567C"/>
    <w:rsid w:val="004E11F7"/>
    <w:rsid w:val="00515A6A"/>
    <w:rsid w:val="005203F4"/>
    <w:rsid w:val="00522B99"/>
    <w:rsid w:val="00533AF3"/>
    <w:rsid w:val="00542801"/>
    <w:rsid w:val="005533EB"/>
    <w:rsid w:val="00555749"/>
    <w:rsid w:val="005653A4"/>
    <w:rsid w:val="00576E6F"/>
    <w:rsid w:val="00581A5B"/>
    <w:rsid w:val="005B0573"/>
    <w:rsid w:val="005B1863"/>
    <w:rsid w:val="005C43B1"/>
    <w:rsid w:val="005E088A"/>
    <w:rsid w:val="005E0C57"/>
    <w:rsid w:val="005E10E7"/>
    <w:rsid w:val="0064773C"/>
    <w:rsid w:val="00655540"/>
    <w:rsid w:val="006A6150"/>
    <w:rsid w:val="006A7DD9"/>
    <w:rsid w:val="006C51B4"/>
    <w:rsid w:val="006C7E7E"/>
    <w:rsid w:val="006D1079"/>
    <w:rsid w:val="006D1DA2"/>
    <w:rsid w:val="006D4001"/>
    <w:rsid w:val="006D42A9"/>
    <w:rsid w:val="006F042E"/>
    <w:rsid w:val="00764691"/>
    <w:rsid w:val="007701A3"/>
    <w:rsid w:val="007746AC"/>
    <w:rsid w:val="00780B67"/>
    <w:rsid w:val="007863F1"/>
    <w:rsid w:val="007B4B3B"/>
    <w:rsid w:val="007C4022"/>
    <w:rsid w:val="007C580B"/>
    <w:rsid w:val="007E5297"/>
    <w:rsid w:val="007F226D"/>
    <w:rsid w:val="00845593"/>
    <w:rsid w:val="00873020"/>
    <w:rsid w:val="00877962"/>
    <w:rsid w:val="00892A0D"/>
    <w:rsid w:val="00893D6A"/>
    <w:rsid w:val="008C0367"/>
    <w:rsid w:val="008C3301"/>
    <w:rsid w:val="008F0FA4"/>
    <w:rsid w:val="008F4F92"/>
    <w:rsid w:val="008F77E5"/>
    <w:rsid w:val="00907BE6"/>
    <w:rsid w:val="00920B89"/>
    <w:rsid w:val="009345F5"/>
    <w:rsid w:val="00935C10"/>
    <w:rsid w:val="0096710E"/>
    <w:rsid w:val="009700F8"/>
    <w:rsid w:val="00996834"/>
    <w:rsid w:val="009B155B"/>
    <w:rsid w:val="009B2606"/>
    <w:rsid w:val="009D02FB"/>
    <w:rsid w:val="009E38CF"/>
    <w:rsid w:val="00A06DD9"/>
    <w:rsid w:val="00A107CE"/>
    <w:rsid w:val="00A21141"/>
    <w:rsid w:val="00A24C72"/>
    <w:rsid w:val="00A265AF"/>
    <w:rsid w:val="00A3129B"/>
    <w:rsid w:val="00A72382"/>
    <w:rsid w:val="00A76D4A"/>
    <w:rsid w:val="00A83679"/>
    <w:rsid w:val="00A9176C"/>
    <w:rsid w:val="00AA053D"/>
    <w:rsid w:val="00AB2D1A"/>
    <w:rsid w:val="00AC1387"/>
    <w:rsid w:val="00AC2FE7"/>
    <w:rsid w:val="00AC497C"/>
    <w:rsid w:val="00AD073A"/>
    <w:rsid w:val="00AF3896"/>
    <w:rsid w:val="00B016E1"/>
    <w:rsid w:val="00B0556C"/>
    <w:rsid w:val="00B339F9"/>
    <w:rsid w:val="00B410F4"/>
    <w:rsid w:val="00B5000F"/>
    <w:rsid w:val="00B661E1"/>
    <w:rsid w:val="00B82DED"/>
    <w:rsid w:val="00B9154C"/>
    <w:rsid w:val="00BF18E3"/>
    <w:rsid w:val="00BF2400"/>
    <w:rsid w:val="00BF6C98"/>
    <w:rsid w:val="00C15357"/>
    <w:rsid w:val="00C431AE"/>
    <w:rsid w:val="00C63AF7"/>
    <w:rsid w:val="00C6479C"/>
    <w:rsid w:val="00C82B1A"/>
    <w:rsid w:val="00CD2D6B"/>
    <w:rsid w:val="00CD5B85"/>
    <w:rsid w:val="00CF2222"/>
    <w:rsid w:val="00D027AB"/>
    <w:rsid w:val="00D031B8"/>
    <w:rsid w:val="00D11E80"/>
    <w:rsid w:val="00D25207"/>
    <w:rsid w:val="00D36F85"/>
    <w:rsid w:val="00D45A72"/>
    <w:rsid w:val="00D52FE9"/>
    <w:rsid w:val="00D6176A"/>
    <w:rsid w:val="00D8343C"/>
    <w:rsid w:val="00D96E96"/>
    <w:rsid w:val="00DA75D6"/>
    <w:rsid w:val="00DB483C"/>
    <w:rsid w:val="00DC4615"/>
    <w:rsid w:val="00DC60E6"/>
    <w:rsid w:val="00DD2605"/>
    <w:rsid w:val="00DF5EAE"/>
    <w:rsid w:val="00E03939"/>
    <w:rsid w:val="00E232A5"/>
    <w:rsid w:val="00E43FB9"/>
    <w:rsid w:val="00E46103"/>
    <w:rsid w:val="00E807D9"/>
    <w:rsid w:val="00E90B11"/>
    <w:rsid w:val="00E9728C"/>
    <w:rsid w:val="00EA17C2"/>
    <w:rsid w:val="00EA798C"/>
    <w:rsid w:val="00EB1170"/>
    <w:rsid w:val="00ED61D5"/>
    <w:rsid w:val="00ED68A5"/>
    <w:rsid w:val="00EE0BCC"/>
    <w:rsid w:val="00EF43BD"/>
    <w:rsid w:val="00EF5E58"/>
    <w:rsid w:val="00F002CB"/>
    <w:rsid w:val="00F004E1"/>
    <w:rsid w:val="00F03C9A"/>
    <w:rsid w:val="00F07F1E"/>
    <w:rsid w:val="00F14D0D"/>
    <w:rsid w:val="00F21570"/>
    <w:rsid w:val="00F2364E"/>
    <w:rsid w:val="00F538FF"/>
    <w:rsid w:val="00F8108A"/>
    <w:rsid w:val="00F83C38"/>
    <w:rsid w:val="00F91B96"/>
    <w:rsid w:val="00FA10E3"/>
    <w:rsid w:val="00FA5ABD"/>
    <w:rsid w:val="00FD1734"/>
    <w:rsid w:val="00FE7D6E"/>
    <w:rsid w:val="00FF60A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36210"/>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ormal"/>
    <w:next w:val="Normal"/>
    <w:link w:val="Naslov5Char"/>
    <w:uiPriority w:val="9"/>
    <w:semiHidden/>
    <w:unhideWhenUsed/>
    <w:qFormat/>
    <w:rsid w:val="00A211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Naslov5Char">
    <w:name w:val="Naslov 5 Char"/>
    <w:basedOn w:val="Zadanifontodlomka"/>
    <w:link w:val="Naslov5"/>
    <w:uiPriority w:val="9"/>
    <w:semiHidden/>
    <w:rsid w:val="00A21141"/>
    <w:rPr>
      <w:rFonts w:asciiTheme="majorHAnsi" w:eastAsiaTheme="majorEastAsia" w:hAnsiTheme="majorHAnsi" w:cstheme="majorBidi"/>
      <w:color w:val="365F91" w:themeColor="accent1" w:themeShade="BF"/>
    </w:rPr>
  </w:style>
  <w:style w:type="table" w:customStyle="1" w:styleId="Reetkatablice1">
    <w:name w:val="Rešetka tablice1"/>
    <w:basedOn w:val="Obinatablica"/>
    <w:next w:val="Reetkatablice"/>
    <w:uiPriority w:val="59"/>
    <w:rsid w:val="00A211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40178A"/>
  </w:style>
  <w:style w:type="table" w:customStyle="1" w:styleId="Reetkatablice11">
    <w:name w:val="Rešetka tablice11"/>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CC3-92B8-4DEC-8FA0-A673B7AE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2259</Words>
  <Characters>12882</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Bojana Ormuž Pavić</cp:lastModifiedBy>
  <cp:revision>7</cp:revision>
  <cp:lastPrinted>2019-06-19T09:17:00Z</cp:lastPrinted>
  <dcterms:created xsi:type="dcterms:W3CDTF">2022-05-09T12:29:00Z</dcterms:created>
  <dcterms:modified xsi:type="dcterms:W3CDTF">2022-05-12T06:18:00Z</dcterms:modified>
</cp:coreProperties>
</file>