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AD3A" w14:textId="77777777" w:rsidR="000F133D" w:rsidRPr="000F133D" w:rsidRDefault="000F133D" w:rsidP="000130D9">
      <w:pPr>
        <w:spacing w:after="0"/>
        <w:jc w:val="center"/>
        <w:rPr>
          <w:rFonts w:ascii="Times New Roman" w:hAnsi="Times New Roman" w:cs="Times New Roman"/>
          <w:b/>
          <w:sz w:val="28"/>
          <w:szCs w:val="28"/>
          <w:lang w:val="hr-HR"/>
        </w:rPr>
      </w:pPr>
    </w:p>
    <w:p w14:paraId="70A46767" w14:textId="77777777" w:rsidR="000F133D" w:rsidRPr="000F133D" w:rsidRDefault="000F133D" w:rsidP="000F133D">
      <w:pPr>
        <w:spacing w:line="252" w:lineRule="auto"/>
        <w:jc w:val="center"/>
        <w:rPr>
          <w:rFonts w:ascii="Times New Roman" w:hAnsi="Times New Roman"/>
          <w:b/>
          <w:sz w:val="28"/>
          <w:lang w:val="hr-HR"/>
        </w:rPr>
      </w:pPr>
      <w:r w:rsidRPr="000F133D">
        <w:rPr>
          <w:rFonts w:ascii="Times New Roman" w:hAnsi="Times New Roman"/>
          <w:b/>
          <w:sz w:val="28"/>
          <w:lang w:val="hr-HR"/>
        </w:rPr>
        <w:t>POZIV NA DODJELU BESPOVRATNIH SREDSTAVA</w:t>
      </w:r>
      <w:r w:rsidRPr="000F133D" w:rsidDel="006033F3">
        <w:rPr>
          <w:rFonts w:ascii="Times New Roman" w:hAnsi="Times New Roman"/>
          <w:b/>
          <w:sz w:val="28"/>
          <w:lang w:val="hr-HR"/>
        </w:rPr>
        <w:t xml:space="preserve"> </w:t>
      </w:r>
    </w:p>
    <w:p w14:paraId="6E1FC1E4" w14:textId="545D13C7" w:rsidR="000F133D" w:rsidRPr="000F133D" w:rsidRDefault="002D06C0" w:rsidP="000F133D">
      <w:pPr>
        <w:spacing w:line="252" w:lineRule="auto"/>
        <w:jc w:val="center"/>
        <w:rPr>
          <w:rFonts w:ascii="Times New Roman" w:hAnsi="Times New Roman"/>
          <w:b/>
          <w:sz w:val="28"/>
          <w:lang w:val="hr-HR"/>
        </w:rPr>
      </w:pPr>
      <w:r>
        <w:rPr>
          <w:rFonts w:ascii="Times New Roman" w:hAnsi="Times New Roman"/>
          <w:b/>
          <w:bCs/>
          <w:color w:val="171796"/>
          <w:sz w:val="28"/>
          <w:szCs w:val="40"/>
          <w:lang w:val="hr-HR"/>
        </w:rPr>
        <w:t>STAŽIRANJE U GODPODARSTVU</w:t>
      </w:r>
    </w:p>
    <w:p w14:paraId="535E422F" w14:textId="0DFBA33A" w:rsidR="000F133D" w:rsidRPr="000F133D" w:rsidRDefault="000F133D" w:rsidP="000F133D">
      <w:pPr>
        <w:spacing w:after="0" w:line="252" w:lineRule="auto"/>
        <w:jc w:val="center"/>
        <w:rPr>
          <w:rFonts w:ascii="Times New Roman" w:hAnsi="Times New Roman"/>
          <w:b/>
          <w:color w:val="0070C0"/>
          <w:sz w:val="24"/>
          <w:szCs w:val="24"/>
          <w:lang w:val="hr-HR"/>
        </w:rPr>
      </w:pPr>
      <w:r w:rsidRPr="00C316F5">
        <w:rPr>
          <w:rFonts w:ascii="Times New Roman" w:hAnsi="Times New Roman"/>
          <w:b/>
          <w:sz w:val="24"/>
          <w:szCs w:val="24"/>
          <w:lang w:val="hr-HR"/>
        </w:rPr>
        <w:t>(</w:t>
      </w:r>
      <w:r w:rsidRPr="00C316F5">
        <w:rPr>
          <w:rFonts w:ascii="Times New Roman" w:hAnsi="Times New Roman"/>
          <w:b/>
          <w:i/>
          <w:sz w:val="24"/>
          <w:szCs w:val="24"/>
          <w:lang w:val="hr-HR"/>
        </w:rPr>
        <w:t>referentni broj:</w:t>
      </w:r>
      <w:r w:rsidR="00C316F5" w:rsidRPr="00C316F5">
        <w:rPr>
          <w:rFonts w:ascii="Times New Roman" w:hAnsi="Times New Roman" w:cs="Times New Roman"/>
          <w:b/>
          <w:color w:val="000000"/>
          <w:sz w:val="24"/>
          <w:szCs w:val="17"/>
          <w:lang w:val="en-US"/>
        </w:rPr>
        <w:t xml:space="preserve"> </w:t>
      </w:r>
      <w:r w:rsidR="00C316F5" w:rsidRPr="00C316F5">
        <w:rPr>
          <w:rFonts w:ascii="Times New Roman" w:hAnsi="Times New Roman"/>
          <w:b/>
          <w:i/>
          <w:sz w:val="24"/>
          <w:szCs w:val="24"/>
          <w:lang w:val="en-US"/>
        </w:rPr>
        <w:t>C3.2.R2-I1.05</w:t>
      </w:r>
      <w:r w:rsidRPr="00C316F5">
        <w:rPr>
          <w:rFonts w:ascii="Times New Roman" w:hAnsi="Times New Roman"/>
          <w:b/>
          <w:i/>
          <w:sz w:val="24"/>
          <w:szCs w:val="24"/>
          <w:lang w:val="hr-HR"/>
        </w:rPr>
        <w:t>)</w:t>
      </w:r>
    </w:p>
    <w:p w14:paraId="621DF6BD" w14:textId="77777777" w:rsidR="000F133D" w:rsidRPr="000F133D" w:rsidRDefault="000F133D" w:rsidP="000F133D">
      <w:pPr>
        <w:spacing w:line="252" w:lineRule="auto"/>
        <w:jc w:val="center"/>
        <w:rPr>
          <w:rFonts w:ascii="Times New Roman" w:hAnsi="Times New Roman"/>
          <w:b/>
          <w:sz w:val="24"/>
          <w:lang w:val="hr-HR"/>
        </w:rPr>
      </w:pPr>
    </w:p>
    <w:p w14:paraId="328F9F8E" w14:textId="6D4FC86C" w:rsidR="000F133D" w:rsidRPr="000F133D" w:rsidRDefault="000F133D" w:rsidP="000F133D">
      <w:pPr>
        <w:tabs>
          <w:tab w:val="left" w:pos="1257"/>
        </w:tabs>
        <w:spacing w:line="252" w:lineRule="auto"/>
        <w:jc w:val="center"/>
        <w:rPr>
          <w:rFonts w:ascii="Times New Roman" w:hAnsi="Times New Roman"/>
          <w:b/>
          <w:bCs/>
          <w:color w:val="171796"/>
          <w:sz w:val="28"/>
          <w:szCs w:val="40"/>
          <w:lang w:val="hr-HR"/>
        </w:rPr>
      </w:pPr>
      <w:r w:rsidRPr="000F133D">
        <w:rPr>
          <w:rFonts w:ascii="Times New Roman" w:hAnsi="Times New Roman"/>
          <w:b/>
          <w:bCs/>
          <w:color w:val="171796"/>
          <w:sz w:val="28"/>
          <w:szCs w:val="40"/>
          <w:lang w:val="hr-HR"/>
        </w:rPr>
        <w:t xml:space="preserve">PRILOG </w:t>
      </w:r>
      <w:r w:rsidR="00E72C98">
        <w:rPr>
          <w:rFonts w:ascii="Times New Roman" w:hAnsi="Times New Roman"/>
          <w:b/>
          <w:bCs/>
          <w:color w:val="171796"/>
          <w:sz w:val="28"/>
          <w:szCs w:val="40"/>
          <w:lang w:val="hr-HR"/>
        </w:rPr>
        <w:t>7</w:t>
      </w:r>
      <w:r w:rsidRPr="000F133D">
        <w:rPr>
          <w:rFonts w:ascii="Times New Roman" w:hAnsi="Times New Roman"/>
          <w:b/>
          <w:bCs/>
          <w:color w:val="171796"/>
          <w:sz w:val="28"/>
          <w:szCs w:val="40"/>
          <w:lang w:val="hr-HR"/>
        </w:rPr>
        <w:t xml:space="preserve">. </w:t>
      </w:r>
    </w:p>
    <w:p w14:paraId="6E1F5539" w14:textId="77777777" w:rsidR="000F133D" w:rsidRPr="000F133D" w:rsidRDefault="000F133D" w:rsidP="000130D9">
      <w:pPr>
        <w:spacing w:after="0"/>
        <w:jc w:val="center"/>
        <w:rPr>
          <w:rFonts w:ascii="Times New Roman" w:hAnsi="Times New Roman" w:cs="Times New Roman"/>
          <w:b/>
          <w:sz w:val="24"/>
          <w:szCs w:val="24"/>
          <w:lang w:val="hr-HR"/>
        </w:rPr>
      </w:pPr>
    </w:p>
    <w:p w14:paraId="6E7C8536" w14:textId="7ECA47E2" w:rsidR="006C364E" w:rsidRPr="000F133D" w:rsidRDefault="000F133D" w:rsidP="000130D9">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SMJERNICE ZA KORISNIKE I PARTNERE – PRAVILA O DRŽAVNIM POTPORAMA ZA ISTRAŽIVANJE I RAZVOJ</w:t>
      </w:r>
    </w:p>
    <w:p w14:paraId="3A0F6539" w14:textId="77777777" w:rsidR="00130C80" w:rsidRPr="000F133D" w:rsidRDefault="00130C80" w:rsidP="000130D9">
      <w:pPr>
        <w:spacing w:after="0"/>
        <w:jc w:val="center"/>
        <w:rPr>
          <w:rFonts w:ascii="Times New Roman" w:hAnsi="Times New Roman" w:cs="Times New Roman"/>
          <w:lang w:val="hr-HR"/>
        </w:rPr>
      </w:pPr>
    </w:p>
    <w:p w14:paraId="4B80B70B" w14:textId="77777777" w:rsidR="000F133D" w:rsidRPr="000F133D" w:rsidRDefault="000F133D" w:rsidP="000130D9">
      <w:pPr>
        <w:spacing w:after="0"/>
        <w:jc w:val="both"/>
        <w:rPr>
          <w:rFonts w:ascii="Times New Roman" w:hAnsi="Times New Roman" w:cs="Times New Roman"/>
          <w:sz w:val="24"/>
          <w:szCs w:val="24"/>
          <w:lang w:val="hr-HR"/>
        </w:rPr>
      </w:pPr>
    </w:p>
    <w:p w14:paraId="7BAB183D" w14:textId="340B7253" w:rsidR="00CD7E3B" w:rsidRPr="000130D9" w:rsidRDefault="006C364E" w:rsidP="000130D9">
      <w:pPr>
        <w:spacing w:after="0"/>
        <w:jc w:val="both"/>
        <w:rPr>
          <w:rFonts w:ascii="Times New Roman" w:hAnsi="Times New Roman" w:cs="Times New Roman"/>
          <w:sz w:val="24"/>
          <w:szCs w:val="24"/>
          <w:lang w:val="hr-HR"/>
        </w:rPr>
      </w:pPr>
      <w:r w:rsidRPr="000F133D">
        <w:rPr>
          <w:rFonts w:ascii="Times New Roman" w:hAnsi="Times New Roman" w:cs="Times New Roman"/>
          <w:sz w:val="24"/>
          <w:szCs w:val="24"/>
          <w:lang w:val="hr-HR"/>
        </w:rPr>
        <w:t xml:space="preserve">Ovaj Prilog </w:t>
      </w:r>
      <w:r w:rsidR="00A25C59" w:rsidRPr="000F133D">
        <w:rPr>
          <w:rFonts w:ascii="Times New Roman" w:hAnsi="Times New Roman" w:cs="Times New Roman"/>
          <w:sz w:val="24"/>
          <w:szCs w:val="24"/>
          <w:lang w:val="hr-HR"/>
        </w:rPr>
        <w:t>ima za cilj informirati potencijalne prijavitelj</w:t>
      </w:r>
      <w:r w:rsidR="006569E7" w:rsidRPr="000F133D">
        <w:rPr>
          <w:rFonts w:ascii="Times New Roman" w:hAnsi="Times New Roman" w:cs="Times New Roman"/>
          <w:sz w:val="24"/>
          <w:szCs w:val="24"/>
          <w:lang w:val="hr-HR"/>
        </w:rPr>
        <w:t>e</w:t>
      </w:r>
      <w:r w:rsidR="00EC094D" w:rsidRPr="000F133D">
        <w:rPr>
          <w:rFonts w:ascii="Times New Roman" w:hAnsi="Times New Roman" w:cs="Times New Roman"/>
          <w:sz w:val="24"/>
          <w:szCs w:val="24"/>
          <w:lang w:val="hr-HR"/>
        </w:rPr>
        <w:t xml:space="preserve"> i partnere</w:t>
      </w:r>
      <w:r w:rsidR="00A25C59" w:rsidRPr="000F133D">
        <w:rPr>
          <w:rFonts w:ascii="Times New Roman" w:hAnsi="Times New Roman" w:cs="Times New Roman"/>
          <w:sz w:val="24"/>
          <w:szCs w:val="24"/>
          <w:lang w:val="hr-HR"/>
        </w:rPr>
        <w:t xml:space="preserve"> o pravilima o </w:t>
      </w:r>
      <w:r w:rsidRPr="000F133D">
        <w:rPr>
          <w:rFonts w:ascii="Times New Roman" w:hAnsi="Times New Roman" w:cs="Times New Roman"/>
          <w:sz w:val="24"/>
          <w:szCs w:val="24"/>
          <w:lang w:val="hr-HR"/>
        </w:rPr>
        <w:t>državn</w:t>
      </w:r>
      <w:r w:rsidR="00A25C59" w:rsidRPr="000F133D">
        <w:rPr>
          <w:rFonts w:ascii="Times New Roman" w:hAnsi="Times New Roman" w:cs="Times New Roman"/>
          <w:sz w:val="24"/>
          <w:szCs w:val="24"/>
          <w:lang w:val="hr-HR"/>
        </w:rPr>
        <w:t>im</w:t>
      </w:r>
      <w:r w:rsidRPr="000F133D">
        <w:rPr>
          <w:rFonts w:ascii="Times New Roman" w:hAnsi="Times New Roman" w:cs="Times New Roman"/>
          <w:sz w:val="24"/>
          <w:szCs w:val="24"/>
          <w:lang w:val="hr-HR"/>
        </w:rPr>
        <w:t xml:space="preserve"> potpor</w:t>
      </w:r>
      <w:r w:rsidR="00A25C59" w:rsidRPr="000F133D">
        <w:rPr>
          <w:rFonts w:ascii="Times New Roman" w:hAnsi="Times New Roman" w:cs="Times New Roman"/>
          <w:sz w:val="24"/>
          <w:szCs w:val="24"/>
          <w:lang w:val="hr-HR"/>
        </w:rPr>
        <w:t>ama koj</w:t>
      </w:r>
      <w:r w:rsidR="002E3F46" w:rsidRPr="000F133D">
        <w:rPr>
          <w:rFonts w:ascii="Times New Roman" w:hAnsi="Times New Roman" w:cs="Times New Roman"/>
          <w:sz w:val="24"/>
          <w:szCs w:val="24"/>
          <w:lang w:val="hr-HR"/>
        </w:rPr>
        <w:t xml:space="preserve">a se odnose na </w:t>
      </w:r>
      <w:r w:rsidR="004F6221">
        <w:rPr>
          <w:rFonts w:ascii="Times New Roman" w:hAnsi="Times New Roman" w:cs="Times New Roman"/>
          <w:sz w:val="24"/>
          <w:szCs w:val="24"/>
          <w:lang w:val="hr-HR"/>
        </w:rPr>
        <w:t>usavršavanje</w:t>
      </w:r>
      <w:r w:rsidR="00495916" w:rsidRPr="000F133D">
        <w:rPr>
          <w:rFonts w:ascii="Times New Roman" w:hAnsi="Times New Roman" w:cs="Times New Roman"/>
          <w:sz w:val="24"/>
          <w:szCs w:val="24"/>
          <w:lang w:val="hr-HR"/>
        </w:rPr>
        <w:t>.</w:t>
      </w:r>
      <w:r w:rsidRPr="000F133D" w:rsidDel="006C364E">
        <w:rPr>
          <w:rFonts w:ascii="Times New Roman" w:hAnsi="Times New Roman" w:cs="Times New Roman"/>
          <w:sz w:val="24"/>
          <w:szCs w:val="24"/>
          <w:lang w:val="hr-HR"/>
        </w:rPr>
        <w:t xml:space="preserve"> </w:t>
      </w:r>
      <w:r w:rsidR="00CD7E3B" w:rsidRPr="000F133D">
        <w:rPr>
          <w:rFonts w:ascii="Times New Roman" w:hAnsi="Times New Roman" w:cs="Times New Roman"/>
          <w:sz w:val="24"/>
          <w:szCs w:val="24"/>
          <w:lang w:val="hr-HR"/>
        </w:rPr>
        <w:t xml:space="preserve">Prijavitelji i partneri su pozvani da prouče ove Smjernice kako bi razumjeli pojam državnih potpora, </w:t>
      </w:r>
      <w:r w:rsidR="00213774" w:rsidRPr="000F133D">
        <w:rPr>
          <w:rFonts w:ascii="Times New Roman" w:hAnsi="Times New Roman" w:cs="Times New Roman"/>
          <w:sz w:val="24"/>
          <w:szCs w:val="24"/>
          <w:lang w:val="hr-HR"/>
        </w:rPr>
        <w:t>i koja pravila moraju poštovati korisnici državne potpore – poduzetnici, a koja znanstvene</w:t>
      </w:r>
      <w:r w:rsidR="00213774" w:rsidRPr="000130D9">
        <w:rPr>
          <w:rFonts w:ascii="Times New Roman" w:hAnsi="Times New Roman" w:cs="Times New Roman"/>
          <w:sz w:val="24"/>
          <w:szCs w:val="24"/>
          <w:lang w:val="hr-HR"/>
        </w:rPr>
        <w:t xml:space="preserve"> organizacije kako sredstva dodijeljena temeljem ovog poziva ne bi predstavljala državnu potporu. </w:t>
      </w:r>
    </w:p>
    <w:p w14:paraId="6DCDE8DF" w14:textId="77777777" w:rsidR="00CD7E3B" w:rsidRPr="000130D9" w:rsidRDefault="00CD7E3B" w:rsidP="000130D9">
      <w:pPr>
        <w:spacing w:after="0"/>
        <w:jc w:val="both"/>
        <w:rPr>
          <w:rFonts w:ascii="Times New Roman" w:hAnsi="Times New Roman" w:cs="Times New Roman"/>
          <w:sz w:val="24"/>
          <w:szCs w:val="24"/>
          <w:lang w:val="hr-HR"/>
        </w:rPr>
      </w:pPr>
    </w:p>
    <w:p w14:paraId="0F6BB803" w14:textId="13980A0E" w:rsidR="00524420"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Smjernice su utemeljene na </w:t>
      </w:r>
      <w:r w:rsidR="00524420" w:rsidRPr="000130D9">
        <w:rPr>
          <w:rFonts w:ascii="Times New Roman" w:hAnsi="Times New Roman" w:cs="Times New Roman"/>
          <w:sz w:val="24"/>
          <w:szCs w:val="24"/>
          <w:lang w:val="hr-HR"/>
        </w:rPr>
        <w:t xml:space="preserve">odredbama </w:t>
      </w:r>
      <w:r w:rsidR="004F6221" w:rsidRPr="003B3B20">
        <w:rPr>
          <w:rFonts w:ascii="Times New Roman" w:eastAsia="Times New Roman" w:hAnsi="Times New Roman" w:cs="Times New Roman"/>
          <w:sz w:val="24"/>
          <w:szCs w:val="24"/>
          <w:lang w:eastAsia="hr-HR"/>
        </w:rPr>
        <w:t>Okvir</w:t>
      </w:r>
      <w:r w:rsidR="004F6221">
        <w:rPr>
          <w:rFonts w:ascii="Times New Roman" w:eastAsia="Times New Roman" w:hAnsi="Times New Roman" w:cs="Times New Roman"/>
          <w:sz w:val="24"/>
          <w:szCs w:val="24"/>
          <w:lang w:eastAsia="hr-HR"/>
        </w:rPr>
        <w:t>a</w:t>
      </w:r>
      <w:r w:rsidR="004F6221" w:rsidRPr="003B3B20">
        <w:rPr>
          <w:rFonts w:ascii="Times New Roman" w:eastAsia="Times New Roman" w:hAnsi="Times New Roman" w:cs="Times New Roman"/>
          <w:sz w:val="24"/>
          <w:szCs w:val="24"/>
          <w:lang w:eastAsia="hr-HR"/>
        </w:rPr>
        <w:t xml:space="preserve"> Zajednice za državne potpore za istraživanje i razvoj i inovacije</w:t>
      </w:r>
      <w:r w:rsidR="004F6221">
        <w:rPr>
          <w:rStyle w:val="FootnoteReference"/>
          <w:rFonts w:ascii="Times New Roman" w:eastAsia="Times New Roman" w:hAnsi="Times New Roman" w:cs="Times New Roman"/>
          <w:sz w:val="24"/>
          <w:szCs w:val="24"/>
          <w:lang w:eastAsia="hr-HR"/>
        </w:rPr>
        <w:footnoteReference w:id="1"/>
      </w:r>
      <w:r w:rsidR="004F6221" w:rsidRPr="003B3B20">
        <w:rPr>
          <w:rFonts w:ascii="Times New Roman" w:eastAsia="Times New Roman" w:hAnsi="Times New Roman" w:cs="Times New Roman"/>
          <w:sz w:val="24"/>
          <w:szCs w:val="24"/>
          <w:lang w:eastAsia="hr-HR"/>
        </w:rPr>
        <w:t xml:space="preserve"> (2022/C 414/01)</w:t>
      </w:r>
      <w:r w:rsidR="007B2DAC" w:rsidRPr="000130D9">
        <w:rPr>
          <w:rFonts w:ascii="Times New Roman" w:hAnsi="Times New Roman" w:cs="Times New Roman"/>
          <w:sz w:val="24"/>
          <w:szCs w:val="24"/>
          <w:lang w:val="hr-HR"/>
        </w:rPr>
        <w:t xml:space="preserve"> </w:t>
      </w:r>
      <w:r w:rsidR="009D428F"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u daljnjem tekstu</w:t>
      </w:r>
      <w:r w:rsidR="00CD7E3B"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Okvir Zajednice</w:t>
      </w:r>
      <w:r w:rsidR="009D428F" w:rsidRPr="000130D9">
        <w:rPr>
          <w:rFonts w:ascii="Times New Roman" w:hAnsi="Times New Roman" w:cs="Times New Roman"/>
          <w:sz w:val="24"/>
          <w:szCs w:val="24"/>
          <w:lang w:val="hr-HR"/>
        </w:rPr>
        <w:t>)</w:t>
      </w:r>
      <w:r w:rsidR="0039346D" w:rsidRPr="000130D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koji </w:t>
      </w:r>
      <w:r w:rsidR="00C35659" w:rsidRPr="000130D9">
        <w:rPr>
          <w:rFonts w:ascii="Times New Roman" w:hAnsi="Times New Roman" w:cs="Times New Roman"/>
          <w:sz w:val="24"/>
          <w:szCs w:val="24"/>
          <w:lang w:val="hr-HR"/>
        </w:rPr>
        <w:t>utvrđ</w:t>
      </w:r>
      <w:r w:rsidR="00A25C59" w:rsidRPr="000130D9">
        <w:rPr>
          <w:rFonts w:ascii="Times New Roman" w:hAnsi="Times New Roman" w:cs="Times New Roman"/>
          <w:sz w:val="24"/>
          <w:szCs w:val="24"/>
          <w:lang w:val="hr-HR"/>
        </w:rPr>
        <w:t>uje</w:t>
      </w:r>
      <w:r w:rsidR="00A75D02" w:rsidRPr="000130D9">
        <w:rPr>
          <w:rFonts w:ascii="Times New Roman" w:hAnsi="Times New Roman" w:cs="Times New Roman"/>
          <w:sz w:val="24"/>
          <w:szCs w:val="24"/>
          <w:lang w:val="hr-HR"/>
        </w:rPr>
        <w:t xml:space="preserve"> detaljna pravila koja se odnose na</w:t>
      </w:r>
      <w:r w:rsidR="0039346D" w:rsidRPr="000130D9">
        <w:rPr>
          <w:rFonts w:ascii="Times New Roman" w:hAnsi="Times New Roman" w:cs="Times New Roman"/>
          <w:sz w:val="24"/>
          <w:szCs w:val="24"/>
          <w:lang w:val="hr-HR"/>
        </w:rPr>
        <w:t xml:space="preserve"> </w:t>
      </w:r>
      <w:r w:rsidR="00C35659" w:rsidRPr="000130D9">
        <w:rPr>
          <w:rFonts w:ascii="Times New Roman" w:hAnsi="Times New Roman" w:cs="Times New Roman"/>
          <w:sz w:val="24"/>
          <w:szCs w:val="24"/>
          <w:lang w:val="hr-HR"/>
        </w:rPr>
        <w:t>postojanje državnih potpora u projektima</w:t>
      </w:r>
      <w:r w:rsidR="00524420" w:rsidRPr="000130D9">
        <w:rPr>
          <w:rFonts w:ascii="Times New Roman" w:hAnsi="Times New Roman" w:cs="Times New Roman"/>
          <w:sz w:val="24"/>
          <w:szCs w:val="24"/>
          <w:lang w:val="hr-HR"/>
        </w:rPr>
        <w:t xml:space="preserve"> istraživanja i razvoja</w:t>
      </w:r>
      <w:r w:rsidR="00213774" w:rsidRPr="000130D9">
        <w:rPr>
          <w:rFonts w:ascii="Times New Roman" w:hAnsi="Times New Roman" w:cs="Times New Roman"/>
          <w:sz w:val="24"/>
          <w:szCs w:val="24"/>
          <w:lang w:val="hr-HR"/>
        </w:rPr>
        <w:t xml:space="preserve"> te na Uredbi Komisije (EU) br. 651/2014. od 17. lipnja 2014. godine o ocjenjivanju određenih kategorija potpora spojivima s unutarnjim tržištem u primjeni članaka 107. i 108.</w:t>
      </w:r>
      <w:r w:rsidR="0028469A">
        <w:rPr>
          <w:rStyle w:val="FootnoteReference"/>
          <w:rFonts w:ascii="Times New Roman" w:hAnsi="Times New Roman" w:cs="Times New Roman"/>
          <w:sz w:val="24"/>
          <w:szCs w:val="24"/>
          <w:lang w:val="hr-HR"/>
        </w:rPr>
        <w:footnoteReference w:id="2"/>
      </w:r>
      <w:r w:rsidR="00360232" w:rsidRPr="000130D9">
        <w:rPr>
          <w:rFonts w:ascii="Times New Roman" w:hAnsi="Times New Roman" w:cs="Times New Roman"/>
          <w:sz w:val="24"/>
          <w:szCs w:val="24"/>
          <w:lang w:val="hr-HR"/>
        </w:rPr>
        <w:t>,</w:t>
      </w:r>
      <w:r w:rsidR="002237E0" w:rsidRPr="000130D9">
        <w:rPr>
          <w:rFonts w:ascii="Times New Roman" w:hAnsi="Times New Roman" w:cs="Times New Roman"/>
          <w:sz w:val="24"/>
          <w:szCs w:val="24"/>
          <w:lang w:val="hr-HR"/>
        </w:rPr>
        <w:t xml:space="preserve"> Uredb</w:t>
      </w:r>
      <w:r w:rsidR="00CF0F44">
        <w:rPr>
          <w:rFonts w:ascii="Times New Roman" w:hAnsi="Times New Roman" w:cs="Times New Roman"/>
          <w:sz w:val="24"/>
          <w:szCs w:val="24"/>
          <w:lang w:val="hr-HR"/>
        </w:rPr>
        <w:t>i</w:t>
      </w:r>
      <w:r w:rsidR="002237E0" w:rsidRPr="000130D9">
        <w:rPr>
          <w:rFonts w:ascii="Times New Roman" w:hAnsi="Times New Roman" w:cs="Times New Roman"/>
          <w:sz w:val="24"/>
          <w:szCs w:val="24"/>
          <w:lang w:val="hr-HR"/>
        </w:rPr>
        <w:t xml:space="preserve"> </w:t>
      </w:r>
      <w:r w:rsidR="00360232" w:rsidRPr="000130D9">
        <w:rPr>
          <w:rFonts w:ascii="Times New Roman" w:hAnsi="Times New Roman" w:cs="Times New Roman"/>
          <w:sz w:val="24"/>
          <w:szCs w:val="24"/>
          <w:lang w:val="hr-HR"/>
        </w:rPr>
        <w:t>K</w:t>
      </w:r>
      <w:r w:rsidR="002237E0" w:rsidRPr="000130D9">
        <w:rPr>
          <w:rFonts w:ascii="Times New Roman" w:hAnsi="Times New Roman" w:cs="Times New Roman"/>
          <w:sz w:val="24"/>
          <w:szCs w:val="24"/>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0130D9">
        <w:rPr>
          <w:rStyle w:val="FootnoteReference"/>
          <w:rFonts w:ascii="Times New Roman" w:hAnsi="Times New Roman" w:cs="Times New Roman"/>
          <w:sz w:val="24"/>
          <w:szCs w:val="24"/>
          <w:lang w:val="hr-HR"/>
        </w:rPr>
        <w:footnoteReference w:id="3"/>
      </w:r>
      <w:r w:rsidR="00D951EE" w:rsidRPr="000130D9">
        <w:rPr>
          <w:rFonts w:ascii="Times New Roman" w:hAnsi="Times New Roman" w:cs="Times New Roman"/>
          <w:sz w:val="24"/>
          <w:szCs w:val="24"/>
          <w:lang w:val="hr-HR"/>
        </w:rPr>
        <w:t>, Uredb</w:t>
      </w:r>
      <w:r w:rsidR="00CF0F44">
        <w:rPr>
          <w:rFonts w:ascii="Times New Roman" w:hAnsi="Times New Roman" w:cs="Times New Roman"/>
          <w:sz w:val="24"/>
          <w:szCs w:val="24"/>
          <w:lang w:val="hr-HR"/>
        </w:rPr>
        <w:t>i</w:t>
      </w:r>
      <w:r w:rsidR="00D951EE" w:rsidRPr="000130D9">
        <w:rPr>
          <w:rFonts w:ascii="Times New Roman" w:hAnsi="Times New Roman" w:cs="Times New Roman"/>
          <w:sz w:val="24"/>
          <w:szCs w:val="24"/>
          <w:lang w:val="hr-HR"/>
        </w:rPr>
        <w:t xml:space="preserve"> Komisije (EU) 2020/972 od 2. srpnja 2020. o izmjeni Uredbe (EU) br. 1407/2013 u pogledu njezina produljenja i o izmjeni Uredbe (EU) br. 651/2014 u pogledu njezina produljenja i odgovarajućih prilagodbi</w:t>
      </w:r>
      <w:r w:rsidR="00D951EE" w:rsidRPr="000130D9">
        <w:rPr>
          <w:rStyle w:val="FootnoteReference"/>
          <w:rFonts w:ascii="Times New Roman" w:hAnsi="Times New Roman" w:cs="Times New Roman"/>
          <w:sz w:val="24"/>
          <w:szCs w:val="24"/>
          <w:lang w:val="hr-HR"/>
        </w:rPr>
        <w:footnoteReference w:id="4"/>
      </w:r>
      <w:r w:rsidR="00D951EE" w:rsidRPr="000130D9">
        <w:rPr>
          <w:rFonts w:ascii="Times New Roman" w:hAnsi="Times New Roman" w:cs="Times New Roman"/>
          <w:sz w:val="24"/>
          <w:szCs w:val="24"/>
          <w:lang w:val="hr-HR"/>
        </w:rPr>
        <w:t xml:space="preserve"> te Uredba Komisije (EU) 2021/1237 оd 23. srpnja 2021. o izmjeni Uredbe (EU) br. 651/2014 o ocjenjivanju određenih kategorija potpora spojivima s unutarnjim tržištem u primjeni članaka 107. i 108. Ugovora</w:t>
      </w:r>
      <w:r w:rsidR="00D951EE" w:rsidRPr="000130D9">
        <w:rPr>
          <w:rStyle w:val="FootnoteReference"/>
          <w:rFonts w:ascii="Times New Roman" w:hAnsi="Times New Roman" w:cs="Times New Roman"/>
          <w:sz w:val="24"/>
          <w:szCs w:val="24"/>
          <w:lang w:val="hr-HR"/>
        </w:rPr>
        <w:footnoteReference w:id="5"/>
      </w:r>
      <w:r w:rsidR="00213774" w:rsidRPr="000130D9">
        <w:rPr>
          <w:rFonts w:ascii="Times New Roman" w:hAnsi="Times New Roman" w:cs="Times New Roman"/>
          <w:sz w:val="24"/>
          <w:szCs w:val="24"/>
          <w:lang w:val="hr-HR"/>
        </w:rPr>
        <w:t>.</w:t>
      </w:r>
    </w:p>
    <w:p w14:paraId="327F0E74" w14:textId="52A661E1" w:rsidR="0039346D" w:rsidRDefault="0039346D" w:rsidP="000130D9">
      <w:pPr>
        <w:spacing w:after="0"/>
        <w:jc w:val="both"/>
        <w:rPr>
          <w:rFonts w:ascii="Times New Roman" w:hAnsi="Times New Roman" w:cs="Times New Roman"/>
          <w:sz w:val="24"/>
          <w:szCs w:val="24"/>
          <w:lang w:val="hr-HR"/>
        </w:rPr>
      </w:pPr>
    </w:p>
    <w:p w14:paraId="23FB034E" w14:textId="77777777" w:rsidR="000F133D" w:rsidRDefault="000F133D" w:rsidP="000130D9">
      <w:pPr>
        <w:spacing w:after="0"/>
        <w:jc w:val="both"/>
        <w:rPr>
          <w:rFonts w:ascii="Times New Roman" w:hAnsi="Times New Roman" w:cs="Times New Roman"/>
          <w:sz w:val="24"/>
          <w:szCs w:val="24"/>
          <w:lang w:val="hr-HR"/>
        </w:rPr>
      </w:pPr>
    </w:p>
    <w:p w14:paraId="6FBA86CC" w14:textId="77777777" w:rsidR="000F133D" w:rsidRPr="000130D9" w:rsidRDefault="000F133D" w:rsidP="000130D9">
      <w:pPr>
        <w:spacing w:after="0"/>
        <w:jc w:val="both"/>
        <w:rPr>
          <w:rFonts w:ascii="Times New Roman" w:hAnsi="Times New Roman" w:cs="Times New Roman"/>
          <w:sz w:val="24"/>
          <w:szCs w:val="24"/>
          <w:lang w:val="hr-HR"/>
        </w:rPr>
      </w:pPr>
    </w:p>
    <w:p w14:paraId="61D23A8A" w14:textId="77777777" w:rsidR="000F133D" w:rsidRDefault="000F133D" w:rsidP="000130D9">
      <w:pPr>
        <w:spacing w:after="0"/>
        <w:jc w:val="both"/>
        <w:rPr>
          <w:rFonts w:ascii="Times New Roman" w:hAnsi="Times New Roman" w:cs="Times New Roman"/>
          <w:sz w:val="24"/>
          <w:szCs w:val="24"/>
          <w:lang w:val="hr-HR"/>
        </w:rPr>
      </w:pPr>
    </w:p>
    <w:p w14:paraId="4F5A36EE" w14:textId="77777777" w:rsidR="006B3514"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lastRenderedPageBreak/>
        <w:t>Pojam državnih potpora zahtjeva da su kumulativno zadovoljena sljedeća četiri kriterija</w:t>
      </w:r>
      <w:r w:rsidRPr="000130D9">
        <w:rPr>
          <w:rFonts w:ascii="Times New Roman" w:hAnsi="Times New Roman" w:cs="Times New Roman"/>
          <w:sz w:val="24"/>
          <w:szCs w:val="24"/>
          <w:vertAlign w:val="superscript"/>
          <w:lang w:val="hr-HR"/>
        </w:rPr>
        <w:footnoteReference w:id="6"/>
      </w:r>
      <w:r w:rsidRPr="000130D9">
        <w:rPr>
          <w:rFonts w:ascii="Times New Roman" w:hAnsi="Times New Roman" w:cs="Times New Roman"/>
          <w:sz w:val="24"/>
          <w:szCs w:val="24"/>
          <w:lang w:val="hr-HR"/>
        </w:rPr>
        <w:t>:</w:t>
      </w:r>
    </w:p>
    <w:p w14:paraId="52FA2A8B" w14:textId="77777777" w:rsidR="00524D9B" w:rsidRPr="000130D9" w:rsidRDefault="00EC094D" w:rsidP="00C316F5">
      <w:pPr>
        <w:pStyle w:val="ListParagraph"/>
        <w:numPr>
          <w:ilvl w:val="0"/>
          <w:numId w:val="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su sredstva dodijeljena od strane Države odnosno iz državnih sredstava u bilo kojem obliku, </w:t>
      </w:r>
    </w:p>
    <w:p w14:paraId="623EE76B" w14:textId="77777777" w:rsidR="00524D9B" w:rsidRPr="000130D9" w:rsidRDefault="00EC094D" w:rsidP="00C316F5">
      <w:pPr>
        <w:pStyle w:val="ListParagraph"/>
        <w:numPr>
          <w:ilvl w:val="0"/>
          <w:numId w:val="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potpora predstavlja selektivnu ekonomsku prednost stavljanjem određenih poduzetnika ili proizvodnju određene robe u povoljniji položaj, </w:t>
      </w:r>
    </w:p>
    <w:p w14:paraId="2240D44E" w14:textId="77777777" w:rsidR="00524D9B" w:rsidRPr="000130D9" w:rsidRDefault="00EC094D" w:rsidP="00C316F5">
      <w:pPr>
        <w:pStyle w:val="ListParagraph"/>
        <w:numPr>
          <w:ilvl w:val="0"/>
          <w:numId w:val="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da potpora narušava ili prijeti narušavanjem tržišnog natjecanja</w:t>
      </w:r>
      <w:r w:rsidR="00524D9B"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p>
    <w:p w14:paraId="2C1D8569" w14:textId="77777777" w:rsidR="00EC094D" w:rsidRDefault="00EC094D" w:rsidP="00C316F5">
      <w:pPr>
        <w:pStyle w:val="ListParagraph"/>
        <w:numPr>
          <w:ilvl w:val="0"/>
          <w:numId w:val="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utječe na trgovinu među državama članicama.</w:t>
      </w:r>
    </w:p>
    <w:p w14:paraId="741C90AB" w14:textId="77777777" w:rsidR="000F133D" w:rsidRPr="000130D9" w:rsidRDefault="000F133D" w:rsidP="000F133D">
      <w:pPr>
        <w:pStyle w:val="ListParagraph"/>
        <w:spacing w:after="0"/>
        <w:ind w:left="1077"/>
        <w:jc w:val="both"/>
        <w:rPr>
          <w:rFonts w:ascii="Times New Roman" w:hAnsi="Times New Roman" w:cs="Times New Roman"/>
          <w:sz w:val="24"/>
          <w:szCs w:val="24"/>
          <w:lang w:val="hr-HR"/>
        </w:rPr>
      </w:pPr>
    </w:p>
    <w:p w14:paraId="15470E44" w14:textId="60EAEFFA" w:rsidR="00F05D3F" w:rsidRPr="000F133D" w:rsidRDefault="00FD72A3" w:rsidP="000F133D">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 xml:space="preserve">Uvjeti za </w:t>
      </w:r>
      <w:r w:rsidR="00F05D3F" w:rsidRPr="000F133D">
        <w:rPr>
          <w:rFonts w:ascii="Times New Roman" w:hAnsi="Times New Roman" w:cs="Times New Roman"/>
          <w:sz w:val="26"/>
          <w:szCs w:val="26"/>
          <w:lang w:val="hr-HR"/>
        </w:rPr>
        <w:t xml:space="preserve">istraživačke organizacije </w:t>
      </w:r>
    </w:p>
    <w:p w14:paraId="61FB0C9C" w14:textId="77777777" w:rsidR="00F05D3F" w:rsidRPr="000130D9" w:rsidRDefault="00F05D3F" w:rsidP="000130D9">
      <w:pPr>
        <w:spacing w:after="0"/>
        <w:jc w:val="both"/>
        <w:rPr>
          <w:rFonts w:ascii="Times New Roman" w:hAnsi="Times New Roman" w:cs="Times New Roman"/>
          <w:sz w:val="24"/>
          <w:szCs w:val="24"/>
          <w:lang w:val="hr-HR"/>
        </w:rPr>
      </w:pPr>
    </w:p>
    <w:p w14:paraId="771FA891" w14:textId="7CFE9B7B" w:rsidR="000402DC" w:rsidRPr="000130D9" w:rsidRDefault="00F05D3F"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Znanstvene organizacije u ulozi partnera u okviru ovog Poziva </w:t>
      </w:r>
      <w:r w:rsidR="000F133D">
        <w:rPr>
          <w:rFonts w:ascii="Times New Roman" w:hAnsi="Times New Roman" w:cs="Times New Roman"/>
          <w:sz w:val="24"/>
          <w:szCs w:val="24"/>
          <w:lang w:val="hr-HR"/>
        </w:rPr>
        <w:t>ne primaju državnu potporu te su</w:t>
      </w:r>
      <w:r w:rsidRPr="000130D9">
        <w:rPr>
          <w:rFonts w:ascii="Times New Roman" w:hAnsi="Times New Roman" w:cs="Times New Roman"/>
          <w:sz w:val="24"/>
          <w:szCs w:val="24"/>
          <w:lang w:val="hr-HR"/>
        </w:rPr>
        <w:t xml:space="preserve"> kategorizirane kao </w:t>
      </w:r>
      <w:r w:rsidR="000F133D">
        <w:rPr>
          <w:rFonts w:ascii="Times New Roman" w:hAnsi="Times New Roman" w:cs="Times New Roman"/>
          <w:sz w:val="24"/>
          <w:szCs w:val="24"/>
          <w:lang w:val="hr-HR"/>
        </w:rPr>
        <w:t>„</w:t>
      </w:r>
      <w:r w:rsidRPr="000F133D">
        <w:rPr>
          <w:rFonts w:ascii="Times New Roman" w:hAnsi="Times New Roman" w:cs="Times New Roman"/>
          <w:i/>
          <w:sz w:val="24"/>
          <w:szCs w:val="24"/>
          <w:lang w:val="hr-HR"/>
        </w:rPr>
        <w:t>Istraživačke organizacije</w:t>
      </w:r>
      <w:r w:rsidR="000F133D">
        <w:rPr>
          <w:rFonts w:ascii="Times New Roman" w:hAnsi="Times New Roman" w:cs="Times New Roman"/>
          <w:i/>
          <w:sz w:val="24"/>
          <w:szCs w:val="24"/>
          <w:lang w:val="hr-HR"/>
        </w:rPr>
        <w:t>“</w:t>
      </w:r>
      <w:r w:rsidRPr="000130D9">
        <w:rPr>
          <w:rFonts w:ascii="Times New Roman" w:hAnsi="Times New Roman" w:cs="Times New Roman"/>
          <w:sz w:val="24"/>
          <w:szCs w:val="24"/>
          <w:lang w:val="hr-HR"/>
        </w:rPr>
        <w:t xml:space="preserve"> prema definiciji niže: </w:t>
      </w:r>
    </w:p>
    <w:p w14:paraId="1492B219" w14:textId="77777777" w:rsidR="00F05D3F" w:rsidRPr="000130D9" w:rsidRDefault="00F05D3F" w:rsidP="000130D9">
      <w:pPr>
        <w:pStyle w:val="ListParagraph"/>
        <w:spacing w:after="0"/>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9D428F" w:rsidRPr="00494717" w14:paraId="2434E4E6" w14:textId="77777777" w:rsidTr="00C877E3">
        <w:tc>
          <w:tcPr>
            <w:tcW w:w="8783" w:type="dxa"/>
            <w:shd w:val="clear" w:color="auto" w:fill="B8CCE4" w:themeFill="accent1" w:themeFillTint="66"/>
          </w:tcPr>
          <w:p w14:paraId="5AC72074" w14:textId="77777777" w:rsidR="009D428F" w:rsidRPr="000130D9" w:rsidRDefault="0036074E" w:rsidP="000130D9">
            <w:pPr>
              <w:pStyle w:val="ListParagraph"/>
              <w:spacing w:before="120" w:after="120" w:line="276" w:lineRule="auto"/>
              <w:ind w:left="0"/>
              <w:contextualSpacing w:val="0"/>
              <w:jc w:val="both"/>
              <w:rPr>
                <w:rFonts w:ascii="Times New Roman" w:hAnsi="Times New Roman" w:cs="Times New Roman"/>
                <w:lang w:val="hr-HR"/>
              </w:rPr>
            </w:pPr>
            <w:r w:rsidRPr="000130D9">
              <w:rPr>
                <w:rFonts w:ascii="Times New Roman" w:hAnsi="Times New Roman" w:cs="Times New Roman"/>
                <w:b/>
                <w:i/>
                <w:lang w:val="hr-HR"/>
              </w:rPr>
              <w:t xml:space="preserve"> </w:t>
            </w:r>
            <w:r w:rsidR="008E3E66" w:rsidRPr="000130D9">
              <w:rPr>
                <w:rFonts w:ascii="Times New Roman" w:hAnsi="Times New Roman" w:cs="Times New Roman"/>
                <w:b/>
                <w:i/>
                <w:lang w:val="hr-HR"/>
              </w:rPr>
              <w:t>I</w:t>
            </w:r>
            <w:r w:rsidRPr="000130D9">
              <w:rPr>
                <w:rFonts w:ascii="Times New Roman" w:hAnsi="Times New Roman" w:cs="Times New Roman"/>
                <w:b/>
                <w:i/>
                <w:lang w:val="hr-HR"/>
              </w:rPr>
              <w:t>straživačka</w:t>
            </w:r>
            <w:r w:rsidR="008E3E66" w:rsidRPr="000130D9">
              <w:rPr>
                <w:rFonts w:ascii="Times New Roman" w:hAnsi="Times New Roman" w:cs="Times New Roman"/>
                <w:b/>
                <w:i/>
                <w:lang w:val="hr-HR"/>
              </w:rPr>
              <w:t>/znanstvena</w:t>
            </w:r>
            <w:r w:rsidRPr="000130D9">
              <w:rPr>
                <w:rFonts w:ascii="Times New Roman" w:hAnsi="Times New Roman" w:cs="Times New Roman"/>
                <w:b/>
                <w:i/>
                <w:lang w:val="hr-HR"/>
              </w:rPr>
              <w:t xml:space="preserve"> organizacija</w:t>
            </w:r>
            <w:r w:rsidR="00AB0FE0" w:rsidRPr="000130D9">
              <w:rPr>
                <w:rFonts w:ascii="Times New Roman" w:hAnsi="Times New Roman" w:cs="Times New Roman"/>
                <w:b/>
                <w:i/>
                <w:lang w:val="hr-HR"/>
              </w:rPr>
              <w:t xml:space="preserve"> </w:t>
            </w:r>
            <w:r w:rsidRPr="000130D9">
              <w:rPr>
                <w:rFonts w:ascii="Times New Roman" w:hAnsi="Times New Roman" w:cs="Times New Roman"/>
                <w:b/>
                <w:i/>
                <w:lang w:val="hr-HR"/>
              </w:rPr>
              <w:t xml:space="preserve">ili </w:t>
            </w:r>
            <w:r w:rsidR="00941920" w:rsidRPr="000130D9">
              <w:rPr>
                <w:rFonts w:ascii="Times New Roman" w:hAnsi="Times New Roman" w:cs="Times New Roman"/>
                <w:b/>
                <w:i/>
                <w:lang w:val="hr-HR"/>
              </w:rPr>
              <w:t>organizacija z</w:t>
            </w:r>
            <w:r w:rsidRPr="000130D9">
              <w:rPr>
                <w:rFonts w:ascii="Times New Roman" w:hAnsi="Times New Roman" w:cs="Times New Roman"/>
                <w:b/>
                <w:i/>
                <w:lang w:val="hr-HR"/>
              </w:rPr>
              <w:t>a istraživanje i širenje znanja</w:t>
            </w:r>
            <w:r w:rsidR="00941920" w:rsidRPr="000130D9">
              <w:rPr>
                <w:rFonts w:ascii="Times New Roman" w:hAnsi="Times New Roman" w:cs="Times New Roman"/>
                <w:lang w:val="hr-HR"/>
              </w:rPr>
              <w:t xml:space="preserve"> </w:t>
            </w:r>
            <w:r w:rsidR="00AB0FE0" w:rsidRPr="000130D9">
              <w:rPr>
                <w:rFonts w:ascii="Times New Roman" w:hAnsi="Times New Roman" w:cs="Times New Roman"/>
                <w:lang w:val="hr-HR"/>
              </w:rPr>
              <w:t>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r w:rsidR="00BF2718" w:rsidRPr="000130D9">
              <w:rPr>
                <w:rFonts w:ascii="Times New Roman" w:hAnsi="Times New Roman" w:cs="Times New Roman"/>
                <w:lang w:val="hr-HR"/>
              </w:rPr>
              <w:t>.</w:t>
            </w:r>
            <w:r w:rsidR="00AB0FE0" w:rsidRPr="000130D9">
              <w:rPr>
                <w:rFonts w:ascii="Times New Roman" w:hAnsi="Times New Roman" w:cs="Times New Roman"/>
                <w:lang w:val="hr-HR"/>
              </w:rPr>
              <w:t xml:space="preserve"> </w:t>
            </w:r>
            <w:r w:rsidR="009D428F" w:rsidRPr="000130D9">
              <w:rPr>
                <w:rFonts w:ascii="Times New Roman" w:hAnsi="Times New Roman" w:cs="Times New Roman"/>
                <w:lang w:val="hr-HR"/>
              </w:rPr>
              <w:t>(</w:t>
            </w:r>
            <w:r w:rsidR="00BF2718" w:rsidRPr="000130D9">
              <w:rPr>
                <w:rFonts w:ascii="Times New Roman" w:hAnsi="Times New Roman" w:cs="Times New Roman"/>
                <w:lang w:val="hr-HR"/>
              </w:rPr>
              <w:t>V</w:t>
            </w:r>
            <w:r w:rsidR="00941920" w:rsidRPr="000130D9">
              <w:rPr>
                <w:rFonts w:ascii="Times New Roman" w:hAnsi="Times New Roman" w:cs="Times New Roman"/>
                <w:lang w:val="hr-HR"/>
              </w:rPr>
              <w:t>idi poglavlje</w:t>
            </w:r>
            <w:r w:rsidR="009D428F" w:rsidRPr="000130D9">
              <w:rPr>
                <w:rFonts w:ascii="Times New Roman" w:hAnsi="Times New Roman" w:cs="Times New Roman"/>
                <w:lang w:val="hr-HR"/>
              </w:rPr>
              <w:t xml:space="preserve"> 1.3 </w:t>
            </w:r>
            <w:r w:rsidR="00941920" w:rsidRPr="000130D9">
              <w:rPr>
                <w:rFonts w:ascii="Times New Roman" w:hAnsi="Times New Roman" w:cs="Times New Roman"/>
                <w:lang w:val="hr-HR"/>
              </w:rPr>
              <w:t>Okvira Zajednice</w:t>
            </w:r>
            <w:r w:rsidR="009D428F" w:rsidRPr="000130D9">
              <w:rPr>
                <w:rFonts w:ascii="Times New Roman" w:hAnsi="Times New Roman" w:cs="Times New Roman"/>
                <w:lang w:val="hr-HR"/>
              </w:rPr>
              <w:t>).</w:t>
            </w:r>
          </w:p>
        </w:tc>
      </w:tr>
    </w:tbl>
    <w:p w14:paraId="1C3E0E78" w14:textId="77777777" w:rsidR="00F05D3F" w:rsidRPr="000130D9" w:rsidRDefault="00F05D3F" w:rsidP="000130D9">
      <w:pPr>
        <w:pStyle w:val="ListParagraph"/>
        <w:spacing w:after="0"/>
        <w:ind w:left="0"/>
        <w:contextualSpacing w:val="0"/>
        <w:jc w:val="both"/>
        <w:rPr>
          <w:rFonts w:ascii="Times New Roman" w:hAnsi="Times New Roman" w:cs="Times New Roman"/>
          <w:lang w:val="hr-HR"/>
        </w:rPr>
      </w:pPr>
    </w:p>
    <w:p w14:paraId="13BDCCF1" w14:textId="5264A2C0" w:rsidR="00FD72A3" w:rsidRPr="000130D9" w:rsidRDefault="002E5A1C" w:rsidP="000130D9">
      <w:pPr>
        <w:pStyle w:val="ListParagraph"/>
        <w:spacing w:after="0"/>
        <w:ind w:left="0"/>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Z</w:t>
      </w:r>
      <w:r w:rsidR="00F05D3F" w:rsidRPr="000130D9">
        <w:rPr>
          <w:rFonts w:ascii="Times New Roman" w:hAnsi="Times New Roman" w:cs="Times New Roman"/>
          <w:sz w:val="24"/>
          <w:szCs w:val="24"/>
          <w:lang w:val="hr-HR"/>
        </w:rPr>
        <w:t xml:space="preserve">nanstvene organizacije svoj status prema definiciji </w:t>
      </w:r>
      <w:r w:rsidR="00FD72A3" w:rsidRPr="000130D9">
        <w:rPr>
          <w:rFonts w:ascii="Times New Roman" w:hAnsi="Times New Roman" w:cs="Times New Roman"/>
          <w:sz w:val="24"/>
          <w:szCs w:val="24"/>
          <w:lang w:val="hr-HR"/>
        </w:rPr>
        <w:t>Okvira zajednice</w:t>
      </w:r>
      <w:r w:rsidR="00D43BF9" w:rsidRPr="000130D9">
        <w:rPr>
          <w:rFonts w:ascii="Times New Roman" w:hAnsi="Times New Roman" w:cs="Times New Roman"/>
          <w:sz w:val="24"/>
          <w:szCs w:val="24"/>
          <w:lang w:val="hr-HR"/>
        </w:rPr>
        <w:t xml:space="preserve"> </w:t>
      </w:r>
      <w:r w:rsidR="00F05D3F" w:rsidRPr="000130D9">
        <w:rPr>
          <w:rFonts w:ascii="Times New Roman" w:hAnsi="Times New Roman" w:cs="Times New Roman"/>
          <w:sz w:val="24"/>
          <w:szCs w:val="24"/>
          <w:lang w:val="hr-HR"/>
        </w:rPr>
        <w:t xml:space="preserve">dokazuju statutom ili drugim aktom. Ukoliko je statut znanstvene organizacije javno objavljen isti nije potrebno dostaviti prilikom prijave na Poziv. </w:t>
      </w:r>
    </w:p>
    <w:p w14:paraId="736BE7A1"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0DA20088"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koja su dodijeljena za djelatnosti koje su neekonomskog karaktera, ne smatraju se državnim potporama.</w:t>
      </w:r>
    </w:p>
    <w:p w14:paraId="1AFB0A65"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2BCA85E1" w14:textId="445EC325" w:rsidR="00D8060D" w:rsidRPr="000130D9" w:rsidRDefault="008721AA"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dodijeljena temeljem ovog Poziva</w:t>
      </w:r>
      <w:r w:rsidR="00DE630E" w:rsidRPr="000130D9">
        <w:rPr>
          <w:rFonts w:ascii="Times New Roman" w:hAnsi="Times New Roman" w:cs="Times New Roman"/>
          <w:sz w:val="24"/>
          <w:szCs w:val="24"/>
          <w:lang w:val="hr-HR"/>
        </w:rPr>
        <w:t xml:space="preserve"> za</w:t>
      </w:r>
      <w:r w:rsidRPr="000130D9">
        <w:rPr>
          <w:rFonts w:ascii="Times New Roman" w:hAnsi="Times New Roman" w:cs="Times New Roman"/>
          <w:sz w:val="24"/>
          <w:szCs w:val="24"/>
          <w:lang w:val="hr-HR"/>
        </w:rPr>
        <w:t xml:space="preserve"> </w:t>
      </w:r>
      <w:r w:rsidR="004174CA" w:rsidRPr="000130D9">
        <w:rPr>
          <w:rFonts w:ascii="Times New Roman" w:hAnsi="Times New Roman" w:cs="Times New Roman"/>
          <w:sz w:val="24"/>
          <w:szCs w:val="24"/>
          <w:lang w:val="hr-HR"/>
        </w:rPr>
        <w:t>znanstvene o</w:t>
      </w:r>
      <w:r w:rsidR="00DE630E" w:rsidRPr="000130D9">
        <w:rPr>
          <w:rFonts w:ascii="Times New Roman" w:hAnsi="Times New Roman" w:cs="Times New Roman"/>
          <w:sz w:val="24"/>
          <w:szCs w:val="24"/>
          <w:lang w:val="hr-HR"/>
        </w:rPr>
        <w:t xml:space="preserve">rganizacije u ulozi </w:t>
      </w:r>
      <w:r w:rsidR="004174CA" w:rsidRPr="000130D9">
        <w:rPr>
          <w:rFonts w:ascii="Times New Roman" w:hAnsi="Times New Roman" w:cs="Times New Roman"/>
          <w:sz w:val="24"/>
          <w:szCs w:val="24"/>
          <w:lang w:val="hr-HR"/>
        </w:rPr>
        <w:t>partnera</w:t>
      </w:r>
      <w:r w:rsidR="00484F46"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ne smiju</w:t>
      </w:r>
      <w:r w:rsidR="00F23D1D">
        <w:rPr>
          <w:rFonts w:ascii="Times New Roman" w:hAnsi="Times New Roman" w:cs="Times New Roman"/>
          <w:sz w:val="24"/>
          <w:szCs w:val="24"/>
          <w:lang w:val="hr-HR"/>
        </w:rPr>
        <w:t xml:space="preserve"> se</w:t>
      </w:r>
      <w:r w:rsidRPr="000130D9">
        <w:rPr>
          <w:rFonts w:ascii="Times New Roman" w:hAnsi="Times New Roman" w:cs="Times New Roman"/>
          <w:sz w:val="24"/>
          <w:szCs w:val="24"/>
          <w:lang w:val="hr-HR"/>
        </w:rPr>
        <w:t xml:space="preserve"> koristiti za ekonomske djelatnosti i to su dužni navesti </w:t>
      </w:r>
      <w:r w:rsidR="00110E07" w:rsidRPr="000130D9">
        <w:rPr>
          <w:rFonts w:ascii="Times New Roman" w:hAnsi="Times New Roman" w:cs="Times New Roman"/>
          <w:sz w:val="24"/>
          <w:szCs w:val="24"/>
          <w:lang w:val="hr-HR"/>
        </w:rPr>
        <w:t xml:space="preserve">u </w:t>
      </w:r>
      <w:r w:rsidR="00AF4C59" w:rsidRPr="000130D9">
        <w:rPr>
          <w:rFonts w:ascii="Times New Roman" w:hAnsi="Times New Roman" w:cs="Times New Roman"/>
          <w:sz w:val="24"/>
          <w:szCs w:val="24"/>
          <w:lang w:val="hr-HR"/>
        </w:rPr>
        <w:t>Izjavi partnera (Obrazac 3)</w:t>
      </w:r>
      <w:r w:rsidRPr="000130D9">
        <w:rPr>
          <w:rFonts w:ascii="Times New Roman" w:hAnsi="Times New Roman" w:cs="Times New Roman"/>
          <w:sz w:val="24"/>
          <w:szCs w:val="24"/>
          <w:lang w:val="hr-HR"/>
        </w:rPr>
        <w:t xml:space="preserve">. </w:t>
      </w:r>
      <w:r w:rsidR="00AD28D4" w:rsidRPr="000130D9">
        <w:rPr>
          <w:rFonts w:ascii="Times New Roman" w:hAnsi="Times New Roman" w:cs="Times New Roman"/>
          <w:sz w:val="24"/>
          <w:szCs w:val="24"/>
          <w:lang w:val="hr-HR"/>
        </w:rPr>
        <w:t xml:space="preserve"> </w:t>
      </w:r>
      <w:r w:rsidR="00224C9F" w:rsidRPr="000130D9">
        <w:rPr>
          <w:rFonts w:ascii="Times New Roman" w:hAnsi="Times New Roman" w:cs="Times New Roman"/>
          <w:sz w:val="24"/>
          <w:szCs w:val="24"/>
          <w:lang w:val="hr-HR"/>
        </w:rPr>
        <w:t>P</w:t>
      </w:r>
      <w:r w:rsidR="00484F46" w:rsidRPr="000130D9">
        <w:rPr>
          <w:rFonts w:ascii="Times New Roman" w:hAnsi="Times New Roman" w:cs="Times New Roman"/>
          <w:sz w:val="24"/>
          <w:szCs w:val="24"/>
          <w:lang w:val="hr-HR"/>
        </w:rPr>
        <w:t>osljedično</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to </w:t>
      </w:r>
      <w:r w:rsidR="00030E89" w:rsidRPr="000130D9">
        <w:rPr>
          <w:rFonts w:ascii="Times New Roman" w:hAnsi="Times New Roman" w:cs="Times New Roman"/>
          <w:sz w:val="24"/>
          <w:szCs w:val="24"/>
          <w:lang w:val="hr-HR"/>
        </w:rPr>
        <w:t xml:space="preserve">znači da ta sredstva ne predstavljaju </w:t>
      </w:r>
      <w:r w:rsidR="00BF2718" w:rsidRPr="000130D9">
        <w:rPr>
          <w:rFonts w:ascii="Times New Roman" w:hAnsi="Times New Roman" w:cs="Times New Roman"/>
          <w:sz w:val="24"/>
          <w:szCs w:val="24"/>
          <w:lang w:val="hr-HR"/>
        </w:rPr>
        <w:t>državnu potporu</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w:t>
      </w:r>
    </w:p>
    <w:p w14:paraId="468CB4AC" w14:textId="77777777" w:rsidR="00DE630E" w:rsidRPr="000F133D" w:rsidRDefault="00DE630E" w:rsidP="000F133D">
      <w:pPr>
        <w:spacing w:after="0"/>
        <w:jc w:val="both"/>
        <w:rPr>
          <w:rFonts w:ascii="Times New Roman" w:hAnsi="Times New Roman" w:cs="Times New Roman"/>
          <w:sz w:val="24"/>
          <w:szCs w:val="24"/>
          <w:lang w:val="hr-HR"/>
        </w:rPr>
      </w:pPr>
    </w:p>
    <w:p w14:paraId="1EFC0599" w14:textId="77777777" w:rsidR="00841612" w:rsidRPr="000130D9" w:rsidRDefault="00841612"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Prema Okviru Zajednic</w:t>
      </w:r>
      <w:r w:rsidR="00F33D66" w:rsidRPr="000130D9">
        <w:rPr>
          <w:rFonts w:ascii="Times New Roman" w:hAnsi="Times New Roman" w:cs="Times New Roman"/>
          <w:sz w:val="24"/>
          <w:szCs w:val="24"/>
          <w:lang w:val="hr-HR"/>
        </w:rPr>
        <w:t>e</w:t>
      </w:r>
      <w:r w:rsidRPr="000130D9">
        <w:rPr>
          <w:rFonts w:ascii="Times New Roman" w:hAnsi="Times New Roman" w:cs="Times New Roman"/>
          <w:sz w:val="24"/>
          <w:szCs w:val="24"/>
          <w:lang w:val="hr-HR"/>
        </w:rPr>
        <w:t xml:space="preserve">, Komisija smatra da su sljedeće djelatnosti znanstvenih organizacija </w:t>
      </w:r>
      <w:r w:rsidR="00C15DFC" w:rsidRPr="000130D9">
        <w:rPr>
          <w:rFonts w:ascii="Times New Roman" w:hAnsi="Times New Roman" w:cs="Times New Roman"/>
          <w:sz w:val="24"/>
          <w:szCs w:val="24"/>
          <w:lang w:val="hr-HR"/>
        </w:rPr>
        <w:t xml:space="preserve">(ZO) </w:t>
      </w:r>
      <w:r w:rsidR="00DE630E" w:rsidRPr="000130D9">
        <w:rPr>
          <w:rFonts w:ascii="Times New Roman" w:hAnsi="Times New Roman" w:cs="Times New Roman"/>
          <w:sz w:val="24"/>
          <w:szCs w:val="24"/>
          <w:lang w:val="hr-HR"/>
        </w:rPr>
        <w:t xml:space="preserve">općenito neekonomske: </w:t>
      </w:r>
      <w:r w:rsidRPr="000130D9">
        <w:rPr>
          <w:rFonts w:ascii="Times New Roman" w:hAnsi="Times New Roman" w:cs="Times New Roman"/>
          <w:sz w:val="24"/>
          <w:szCs w:val="24"/>
          <w:lang w:val="hr-HR"/>
        </w:rPr>
        <w:t xml:space="preserve"> </w:t>
      </w:r>
    </w:p>
    <w:p w14:paraId="456F93A0" w14:textId="77777777" w:rsidR="005A1FEB" w:rsidRPr="000130D9" w:rsidRDefault="005A1FEB" w:rsidP="000130D9">
      <w:pPr>
        <w:pStyle w:val="ListParagraph"/>
        <w:spacing w:after="0"/>
        <w:ind w:left="714"/>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494717" w14:paraId="2309A633" w14:textId="77777777" w:rsidTr="00C877E3">
        <w:tc>
          <w:tcPr>
            <w:tcW w:w="8783" w:type="dxa"/>
            <w:shd w:val="clear" w:color="auto" w:fill="B8CCE4" w:themeFill="accent1" w:themeFillTint="66"/>
          </w:tcPr>
          <w:p w14:paraId="647F412E" w14:textId="77777777" w:rsidR="00841612" w:rsidRPr="000130D9" w:rsidRDefault="00841612" w:rsidP="00C316F5">
            <w:pPr>
              <w:pStyle w:val="ListParagraph"/>
              <w:numPr>
                <w:ilvl w:val="0"/>
                <w:numId w:val="3"/>
              </w:numPr>
              <w:spacing w:line="276" w:lineRule="auto"/>
              <w:ind w:left="459" w:right="170" w:hanging="284"/>
              <w:jc w:val="both"/>
              <w:rPr>
                <w:rFonts w:ascii="Times New Roman" w:hAnsi="Times New Roman" w:cs="Times New Roman"/>
                <w:b/>
                <w:lang w:val="hr-HR"/>
              </w:rPr>
            </w:pPr>
            <w:r w:rsidRPr="000130D9">
              <w:rPr>
                <w:rFonts w:ascii="Times New Roman" w:hAnsi="Times New Roman" w:cs="Times New Roman"/>
                <w:b/>
                <w:lang w:val="hr-HR"/>
              </w:rPr>
              <w:lastRenderedPageBreak/>
              <w:t>Primarne djelatnosti istraživačkih organizacija:</w:t>
            </w:r>
          </w:p>
          <w:p w14:paraId="00F47CAC" w14:textId="77777777" w:rsidR="00841612" w:rsidRPr="000130D9" w:rsidRDefault="00841612" w:rsidP="00C316F5">
            <w:pPr>
              <w:pStyle w:val="ListParagraph"/>
              <w:numPr>
                <w:ilvl w:val="0"/>
                <w:numId w:val="2"/>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0130D9">
              <w:rPr>
                <w:rFonts w:ascii="Times New Roman" w:hAnsi="Times New Roman" w:cs="Times New Roman"/>
                <w:lang w:val="hr-HR"/>
              </w:rPr>
              <w:t xml:space="preserve"> djelatnošću</w:t>
            </w:r>
            <w:r w:rsidRPr="000130D9">
              <w:rPr>
                <w:rFonts w:ascii="Times New Roman" w:hAnsi="Times New Roman" w:cs="Times New Roman"/>
                <w:lang w:val="hr-HR"/>
              </w:rPr>
              <w:t>;</w:t>
            </w:r>
            <w:r w:rsidRPr="000130D9">
              <w:rPr>
                <w:rStyle w:val="FootnoteReference"/>
                <w:rFonts w:ascii="Times New Roman" w:hAnsi="Times New Roman" w:cs="Times New Roman"/>
                <w:lang w:val="hr-HR"/>
              </w:rPr>
              <w:footnoteReference w:id="7"/>
            </w:r>
          </w:p>
          <w:p w14:paraId="3E5F88BC" w14:textId="77777777" w:rsidR="00841612" w:rsidRPr="000130D9" w:rsidRDefault="00841612" w:rsidP="00C316F5">
            <w:pPr>
              <w:pStyle w:val="ListParagraph"/>
              <w:numPr>
                <w:ilvl w:val="0"/>
                <w:numId w:val="2"/>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720D5B41" w14:textId="77777777" w:rsidR="00841612" w:rsidRPr="000130D9" w:rsidRDefault="00841612" w:rsidP="00C316F5">
            <w:pPr>
              <w:pStyle w:val="ListParagraph"/>
              <w:numPr>
                <w:ilvl w:val="0"/>
                <w:numId w:val="2"/>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0572B272" w14:textId="77777777" w:rsidR="00841612" w:rsidRPr="000F133D" w:rsidRDefault="00841612" w:rsidP="000F133D">
            <w:pPr>
              <w:ind w:right="170"/>
              <w:jc w:val="both"/>
              <w:rPr>
                <w:rFonts w:ascii="Times New Roman" w:hAnsi="Times New Roman" w:cs="Times New Roman"/>
                <w:lang w:val="hr-HR"/>
              </w:rPr>
            </w:pPr>
          </w:p>
          <w:p w14:paraId="1C346D33" w14:textId="77777777" w:rsidR="00841612" w:rsidRPr="000130D9" w:rsidRDefault="00841612" w:rsidP="00C316F5">
            <w:pPr>
              <w:pStyle w:val="ListParagraph"/>
              <w:numPr>
                <w:ilvl w:val="0"/>
                <w:numId w:val="3"/>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b/>
                <w:lang w:val="hr-HR"/>
              </w:rPr>
              <w:t>Aktivnosti prijenosa znanja</w:t>
            </w:r>
            <w:r w:rsidRPr="000130D9">
              <w:rPr>
                <w:rStyle w:val="FootnoteReference"/>
                <w:rFonts w:ascii="Times New Roman" w:hAnsi="Times New Roman" w:cs="Times New Roman"/>
                <w:lang w:val="hr-HR"/>
              </w:rPr>
              <w:footnoteReference w:id="8"/>
            </w:r>
            <w:r w:rsidRPr="000130D9">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p w14:paraId="224DF055" w14:textId="77777777" w:rsidR="0017716D" w:rsidRPr="000130D9" w:rsidRDefault="0017716D" w:rsidP="000130D9">
            <w:pPr>
              <w:pStyle w:val="ListParagraph"/>
              <w:spacing w:line="276" w:lineRule="auto"/>
              <w:jc w:val="both"/>
              <w:rPr>
                <w:rFonts w:ascii="Times New Roman" w:hAnsi="Times New Roman" w:cs="Times New Roman"/>
                <w:lang w:val="hr-HR"/>
              </w:rPr>
            </w:pPr>
          </w:p>
        </w:tc>
      </w:tr>
    </w:tbl>
    <w:p w14:paraId="4439CAA5" w14:textId="77777777" w:rsidR="00DE4123" w:rsidRPr="000130D9" w:rsidRDefault="00DE4123" w:rsidP="000130D9">
      <w:pPr>
        <w:spacing w:after="0"/>
        <w:jc w:val="both"/>
        <w:rPr>
          <w:rFonts w:ascii="Times New Roman" w:hAnsi="Times New Roman" w:cs="Times New Roman"/>
          <w:lang w:val="hr-HR"/>
        </w:rPr>
      </w:pPr>
    </w:p>
    <w:p w14:paraId="7AE5E531" w14:textId="42D5CE7B" w:rsidR="00D43BF9" w:rsidRDefault="00D43BF9" w:rsidP="000F133D">
      <w:pPr>
        <w:spacing w:after="0"/>
        <w:jc w:val="both"/>
        <w:rPr>
          <w:rFonts w:ascii="Times New Roman" w:hAnsi="Times New Roman" w:cs="Times New Roman"/>
          <w:lang w:val="hr-HR"/>
        </w:rPr>
      </w:pPr>
      <w:r w:rsidRPr="000130D9">
        <w:rPr>
          <w:rFonts w:ascii="Times New Roman" w:hAnsi="Times New Roman" w:cs="Times New Roman"/>
          <w:lang w:val="hr-HR"/>
        </w:rPr>
        <w:t>Izuzetkom se smatra:</w:t>
      </w:r>
    </w:p>
    <w:p w14:paraId="1F5F2318" w14:textId="77777777" w:rsidR="000F133D" w:rsidRPr="000F133D" w:rsidRDefault="000F133D" w:rsidP="000F133D">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D43BF9" w:rsidRPr="00494717" w14:paraId="520952DB" w14:textId="77777777" w:rsidTr="00C877E3">
        <w:tc>
          <w:tcPr>
            <w:tcW w:w="8783" w:type="dxa"/>
            <w:shd w:val="clear" w:color="auto" w:fill="B8CCE4" w:themeFill="accent1" w:themeFillTint="66"/>
          </w:tcPr>
          <w:p w14:paraId="609674EC" w14:textId="77777777" w:rsidR="00D43BF9" w:rsidRPr="000130D9" w:rsidRDefault="00D43BF9" w:rsidP="000130D9">
            <w:pPr>
              <w:pStyle w:val="ListParagraph"/>
              <w:tabs>
                <w:tab w:val="left" w:pos="34"/>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Ako određena znanstvena organizacija provodi </w:t>
            </w:r>
            <w:r w:rsidRPr="000130D9">
              <w:rPr>
                <w:rFonts w:ascii="Times New Roman" w:hAnsi="Times New Roman" w:cs="Times New Roman"/>
                <w:b/>
                <w:lang w:val="hr-HR"/>
              </w:rPr>
              <w:t>gotovo isključivo neekonomske djelatnosti</w:t>
            </w:r>
            <w:r w:rsidRPr="000130D9">
              <w:rPr>
                <w:rFonts w:ascii="Times New Roman" w:hAnsi="Times New Roman" w:cs="Times New Roman"/>
                <w:lang w:val="hr-HR"/>
              </w:rPr>
              <w:t>, njezino financiranje može biti u potpunosti isključeno iz područja primjene pravila o državnim potporama pod uvjetom da je:</w:t>
            </w:r>
          </w:p>
          <w:p w14:paraId="07105FC6" w14:textId="77777777" w:rsidR="00D43BF9" w:rsidRPr="000130D9" w:rsidRDefault="00D43BF9" w:rsidP="00C316F5">
            <w:pPr>
              <w:pStyle w:val="ListParagraph"/>
              <w:numPr>
                <w:ilvl w:val="0"/>
                <w:numId w:val="5"/>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ekonomska djelatnost </w:t>
            </w:r>
            <w:r w:rsidRPr="000130D9">
              <w:rPr>
                <w:rFonts w:ascii="Times New Roman" w:hAnsi="Times New Roman" w:cs="Times New Roman"/>
                <w:b/>
                <w:lang w:val="hr-HR"/>
              </w:rPr>
              <w:t>isključivo pomoćna</w:t>
            </w:r>
            <w:r w:rsidRPr="000130D9">
              <w:rPr>
                <w:rFonts w:ascii="Times New Roman" w:hAnsi="Times New Roman" w:cs="Times New Roman"/>
                <w:lang w:val="hr-HR"/>
              </w:rPr>
              <w:t xml:space="preserve"> djelatnost, odnosno odgovara djelatnosti koja je:</w:t>
            </w:r>
          </w:p>
          <w:p w14:paraId="1A36E0D6" w14:textId="77777777" w:rsidR="00D43BF9" w:rsidRPr="000130D9" w:rsidRDefault="00D43BF9" w:rsidP="00C316F5">
            <w:pPr>
              <w:pStyle w:val="ListParagraph"/>
              <w:numPr>
                <w:ilvl w:val="0"/>
                <w:numId w:val="6"/>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izravno povezana s radom istraživačke/znanstvene organizacije i neophodna za taj rad ili</w:t>
            </w:r>
            <w:r w:rsidRPr="000130D9">
              <w:rPr>
                <w:rFonts w:ascii="Times New Roman" w:hAnsi="Times New Roman" w:cs="Times New Roman"/>
                <w:u w:val="single"/>
                <w:lang w:val="hr-HR"/>
              </w:rPr>
              <w:t xml:space="preserve"> </w:t>
            </w:r>
          </w:p>
          <w:p w14:paraId="465C242B" w14:textId="77777777" w:rsidR="00D43BF9" w:rsidRPr="000130D9" w:rsidRDefault="00D43BF9" w:rsidP="00C316F5">
            <w:pPr>
              <w:pStyle w:val="ListParagraph"/>
              <w:numPr>
                <w:ilvl w:val="0"/>
                <w:numId w:val="6"/>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neodvojivo povezana s njihovom glavnom neekonomskom upotrebom, i </w:t>
            </w:r>
          </w:p>
          <w:p w14:paraId="57E468D3" w14:textId="77777777" w:rsidR="00B05A1B" w:rsidRPr="000130D9" w:rsidRDefault="00D43BF9" w:rsidP="00C316F5">
            <w:pPr>
              <w:pStyle w:val="ListParagraph"/>
              <w:numPr>
                <w:ilvl w:val="0"/>
                <w:numId w:val="5"/>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opseg joj je ograničen. </w:t>
            </w:r>
          </w:p>
          <w:p w14:paraId="7096535F" w14:textId="77777777" w:rsidR="00D43BF9" w:rsidRPr="000130D9" w:rsidRDefault="00D43BF9" w:rsidP="000130D9">
            <w:pPr>
              <w:pStyle w:val="ListParagraph"/>
              <w:tabs>
                <w:tab w:val="left" w:pos="0"/>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To je slučaj ako ekonomske djelatnosti </w:t>
            </w:r>
            <w:r w:rsidRPr="000130D9">
              <w:rPr>
                <w:rFonts w:ascii="Times New Roman" w:hAnsi="Times New Roman" w:cs="Times New Roman"/>
                <w:b/>
                <w:lang w:val="hr-HR"/>
              </w:rPr>
              <w:t>troše potpuno jednake inpute</w:t>
            </w:r>
            <w:r w:rsidRPr="000130D9">
              <w:rPr>
                <w:rFonts w:ascii="Times New Roman" w:hAnsi="Times New Roman" w:cs="Times New Roman"/>
                <w:lang w:val="hr-HR"/>
              </w:rPr>
              <w:t xml:space="preserve"> (primjerice materijal, oprema, radna snaga i fiksni kapital) kao i neekonomske djelatnosti, a kapaciteti koji se svake godine dodjeljuju tim ekonomskim djelatnostima ne premašuju 20% ukupnih godišnjih kapaciteta predmetnog subjekta</w:t>
            </w:r>
            <w:r w:rsidR="005909A1" w:rsidRPr="000130D9">
              <w:rPr>
                <w:rStyle w:val="FootnoteReference"/>
                <w:rFonts w:ascii="Times New Roman" w:hAnsi="Times New Roman" w:cs="Times New Roman"/>
                <w:lang w:val="hr-HR"/>
              </w:rPr>
              <w:footnoteReference w:id="9"/>
            </w:r>
            <w:r w:rsidRPr="000130D9">
              <w:rPr>
                <w:rFonts w:ascii="Times New Roman" w:hAnsi="Times New Roman" w:cs="Times New Roman"/>
                <w:lang w:val="hr-HR"/>
              </w:rPr>
              <w:t>.</w:t>
            </w:r>
          </w:p>
        </w:tc>
      </w:tr>
    </w:tbl>
    <w:p w14:paraId="26E27BBF"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00813782"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4ABC7266" w14:textId="1FEF2DA0" w:rsidR="00551E79" w:rsidRPr="000130D9" w:rsidRDefault="00551E79"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slučaju da se isti subjekt bavi i ekonomskim i neekonomskim djelatnostima, javno financiranje neekonomskih djelatnosti neće biti obuhvaćeno člankom 107. stavkom 1. Ugovora, </w:t>
      </w:r>
      <w:r w:rsidRPr="000130D9">
        <w:rPr>
          <w:rFonts w:ascii="Times New Roman" w:hAnsi="Times New Roman" w:cs="Times New Roman"/>
          <w:sz w:val="24"/>
          <w:szCs w:val="24"/>
          <w:lang w:val="hr-HR"/>
        </w:rPr>
        <w:lastRenderedPageBreak/>
        <w:t xml:space="preserve">ako je moguće jednoznačno odvojiti dvije vrste aktivnosti, njihove troškove, financiranje i prihode kako bi se djelotvorno izbjeglo unakrsno subvencioniranje ekonomske djelatnosti. </w:t>
      </w:r>
    </w:p>
    <w:p w14:paraId="3A7DA0E6" w14:textId="77777777" w:rsidR="00841612" w:rsidRPr="000130D9" w:rsidRDefault="00841612" w:rsidP="000130D9">
      <w:pPr>
        <w:spacing w:after="0"/>
        <w:jc w:val="both"/>
        <w:rPr>
          <w:rFonts w:ascii="Times New Roman" w:hAnsi="Times New Roman" w:cs="Times New Roman"/>
          <w:sz w:val="24"/>
          <w:szCs w:val="24"/>
          <w:lang w:val="hr-HR"/>
        </w:rPr>
      </w:pPr>
    </w:p>
    <w:p w14:paraId="00927C56" w14:textId="77777777" w:rsidR="00D43BF9" w:rsidRPr="000130D9" w:rsidRDefault="00110E07"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tom slučaju </w:t>
      </w:r>
      <w:r w:rsidR="00DE630E" w:rsidRPr="000130D9">
        <w:rPr>
          <w:rFonts w:ascii="Times New Roman" w:hAnsi="Times New Roman" w:cs="Times New Roman"/>
          <w:sz w:val="24"/>
          <w:szCs w:val="24"/>
          <w:lang w:val="hr-HR"/>
        </w:rPr>
        <w:t>potrebno je u</w:t>
      </w:r>
      <w:r w:rsidRPr="000130D9">
        <w:rPr>
          <w:rFonts w:ascii="Times New Roman" w:hAnsi="Times New Roman" w:cs="Times New Roman"/>
          <w:sz w:val="24"/>
          <w:szCs w:val="24"/>
          <w:lang w:val="hr-HR"/>
        </w:rPr>
        <w:t>vesti odvajanje ekonomskih i neekonomskih djelatnosti (raspodjelu troškova, izvora financijskih sredstava i prihoda) koje nadalje mora biti vidljivo u godišnjim financijskim izvještajima mjerodavnog subjekta</w:t>
      </w:r>
      <w:r w:rsidR="00DE630E" w:rsidRPr="000130D9">
        <w:rPr>
          <w:rFonts w:ascii="Times New Roman" w:hAnsi="Times New Roman" w:cs="Times New Roman"/>
          <w:sz w:val="24"/>
          <w:szCs w:val="24"/>
          <w:lang w:val="hr-HR"/>
        </w:rPr>
        <w:t xml:space="preserve">. </w:t>
      </w:r>
    </w:p>
    <w:p w14:paraId="0EB8AE7C" w14:textId="77777777" w:rsidR="00347B19" w:rsidRPr="000130D9" w:rsidRDefault="00347B19" w:rsidP="000130D9">
      <w:pPr>
        <w:pStyle w:val="ListParagraph"/>
        <w:spacing w:after="0"/>
        <w:ind w:left="1080"/>
        <w:jc w:val="both"/>
        <w:rPr>
          <w:rFonts w:ascii="Times New Roman" w:eastAsia="SimSun" w:hAnsi="Times New Roman" w:cs="Times New Roman"/>
          <w:lang w:val="hr-HR" w:eastAsia="zh-CN"/>
        </w:rPr>
      </w:pPr>
    </w:p>
    <w:p w14:paraId="5E0A8A36" w14:textId="77777777" w:rsidR="00C61C81" w:rsidRPr="000130D9" w:rsidRDefault="00641F26">
      <w:pPr>
        <w:pStyle w:val="Heading2"/>
        <w:numPr>
          <w:ilvl w:val="0"/>
          <w:numId w:val="0"/>
        </w:numPr>
        <w:rPr>
          <w:rFonts w:ascii="Times New Roman" w:eastAsia="SimSun" w:hAnsi="Times New Roman" w:cs="Times New Roman"/>
          <w:sz w:val="24"/>
          <w:szCs w:val="24"/>
          <w:lang w:val="hr-HR" w:eastAsia="zh-CN"/>
        </w:rPr>
      </w:pPr>
      <w:r w:rsidRPr="000130D9">
        <w:rPr>
          <w:rFonts w:ascii="Times New Roman" w:eastAsia="SimSun" w:hAnsi="Times New Roman" w:cs="Times New Roman"/>
          <w:sz w:val="24"/>
          <w:szCs w:val="24"/>
          <w:lang w:val="hr-HR" w:eastAsia="zh-CN"/>
        </w:rPr>
        <w:t>Kontrol</w:t>
      </w:r>
      <w:r w:rsidR="00D96E49" w:rsidRPr="000130D9">
        <w:rPr>
          <w:rFonts w:ascii="Times New Roman" w:eastAsia="SimSun" w:hAnsi="Times New Roman" w:cs="Times New Roman"/>
          <w:sz w:val="24"/>
          <w:szCs w:val="24"/>
          <w:lang w:val="hr-HR" w:eastAsia="zh-CN"/>
        </w:rPr>
        <w:t>e</w:t>
      </w:r>
      <w:r w:rsidRPr="000130D9">
        <w:rPr>
          <w:rFonts w:ascii="Times New Roman" w:eastAsia="SimSun" w:hAnsi="Times New Roman" w:cs="Times New Roman"/>
          <w:sz w:val="24"/>
          <w:szCs w:val="24"/>
          <w:lang w:val="hr-HR" w:eastAsia="zh-CN"/>
        </w:rPr>
        <w:t xml:space="preserve"> i povrati</w:t>
      </w:r>
    </w:p>
    <w:p w14:paraId="556523AD" w14:textId="77777777" w:rsidR="00782C18" w:rsidRPr="000130D9" w:rsidRDefault="00782C18" w:rsidP="000130D9">
      <w:pPr>
        <w:pStyle w:val="ListParagraph"/>
        <w:spacing w:after="0"/>
        <w:ind w:left="0"/>
        <w:jc w:val="both"/>
        <w:rPr>
          <w:rFonts w:ascii="Times New Roman" w:hAnsi="Times New Roman" w:cs="Times New Roman"/>
          <w:lang w:val="hr-HR"/>
        </w:rPr>
      </w:pPr>
    </w:p>
    <w:p w14:paraId="24169524" w14:textId="77777777" w:rsidR="00280091" w:rsidRPr="000130D9" w:rsidRDefault="003C3970" w:rsidP="000130D9">
      <w:pPr>
        <w:pStyle w:val="ListParagraph"/>
        <w:spacing w:after="0"/>
        <w:ind w:left="0"/>
        <w:jc w:val="both"/>
        <w:rPr>
          <w:rFonts w:ascii="Times New Roman" w:eastAsia="SimSun" w:hAnsi="Times New Roman" w:cs="Times New Roman"/>
          <w:sz w:val="24"/>
          <w:szCs w:val="24"/>
          <w:lang w:val="hr-HR" w:eastAsia="zh-CN"/>
        </w:rPr>
      </w:pPr>
      <w:r w:rsidRPr="000130D9">
        <w:rPr>
          <w:rFonts w:ascii="Times New Roman" w:hAnsi="Times New Roman" w:cs="Times New Roman"/>
          <w:sz w:val="24"/>
          <w:szCs w:val="24"/>
          <w:lang w:val="hr-HR"/>
        </w:rPr>
        <w:t>N</w:t>
      </w:r>
      <w:r w:rsidR="00363629" w:rsidRPr="000130D9">
        <w:rPr>
          <w:rFonts w:ascii="Times New Roman" w:hAnsi="Times New Roman" w:cs="Times New Roman"/>
          <w:sz w:val="24"/>
          <w:szCs w:val="24"/>
          <w:lang w:val="hr-HR"/>
        </w:rPr>
        <w:t xml:space="preserve">avedeni uvjeti o financiranju neekonomskih djelatnosti </w:t>
      </w:r>
      <w:r w:rsidR="00DE630E" w:rsidRPr="000130D9">
        <w:rPr>
          <w:rFonts w:ascii="Times New Roman" w:hAnsi="Times New Roman" w:cs="Times New Roman"/>
          <w:sz w:val="24"/>
          <w:szCs w:val="24"/>
          <w:lang w:val="hr-HR"/>
        </w:rPr>
        <w:t xml:space="preserve">istraživačkih </w:t>
      </w:r>
      <w:r w:rsidR="00363629" w:rsidRPr="000130D9">
        <w:rPr>
          <w:rFonts w:ascii="Times New Roman" w:hAnsi="Times New Roman" w:cs="Times New Roman"/>
          <w:sz w:val="24"/>
          <w:szCs w:val="24"/>
          <w:lang w:val="hr-HR"/>
        </w:rPr>
        <w:t>organizacija podložni su kontroli</w:t>
      </w:r>
      <w:r w:rsidR="001669E8" w:rsidRPr="000130D9">
        <w:rPr>
          <w:rFonts w:ascii="Times New Roman" w:hAnsi="Times New Roman" w:cs="Times New Roman"/>
          <w:sz w:val="24"/>
          <w:szCs w:val="24"/>
          <w:lang w:val="hr-HR"/>
        </w:rPr>
        <w:t xml:space="preserve">. </w:t>
      </w:r>
      <w:r w:rsidR="00F7083E" w:rsidRPr="000130D9">
        <w:rPr>
          <w:rFonts w:ascii="Times New Roman" w:hAnsi="Times New Roman" w:cs="Times New Roman"/>
          <w:sz w:val="24"/>
          <w:szCs w:val="24"/>
          <w:lang w:val="hr-HR"/>
        </w:rPr>
        <w:t xml:space="preserve">Kontrola podrazumijeva pregled Izvješća o korištenju </w:t>
      </w:r>
      <w:r w:rsidR="00761EC8" w:rsidRPr="000130D9">
        <w:rPr>
          <w:rFonts w:ascii="Times New Roman" w:hAnsi="Times New Roman" w:cs="Times New Roman"/>
          <w:sz w:val="24"/>
          <w:szCs w:val="24"/>
          <w:lang w:val="hr-HR"/>
        </w:rPr>
        <w:t>kapaciteta</w:t>
      </w:r>
      <w:r w:rsidR="00F7083E" w:rsidRPr="000130D9">
        <w:rPr>
          <w:rFonts w:ascii="Times New Roman" w:hAnsi="Times New Roman" w:cs="Times New Roman"/>
          <w:sz w:val="24"/>
          <w:szCs w:val="24"/>
          <w:lang w:val="hr-HR"/>
        </w:rPr>
        <w:t xml:space="preserve"> u</w:t>
      </w:r>
      <w:r w:rsidR="001669E8" w:rsidRPr="000130D9">
        <w:rPr>
          <w:rFonts w:ascii="Times New Roman" w:hAnsi="Times New Roman" w:cs="Times New Roman"/>
          <w:sz w:val="24"/>
          <w:szCs w:val="24"/>
          <w:lang w:val="hr-HR"/>
        </w:rPr>
        <w:t xml:space="preserve"> </w:t>
      </w:r>
      <w:r w:rsidR="00CD4121" w:rsidRPr="000130D9">
        <w:rPr>
          <w:rFonts w:ascii="Times New Roman" w:hAnsi="Times New Roman" w:cs="Times New Roman"/>
          <w:sz w:val="24"/>
          <w:szCs w:val="24"/>
          <w:lang w:val="hr-HR"/>
        </w:rPr>
        <w:t>razdoblju</w:t>
      </w:r>
      <w:r w:rsidR="001669E8" w:rsidRPr="000130D9">
        <w:rPr>
          <w:rFonts w:ascii="Times New Roman" w:hAnsi="Times New Roman" w:cs="Times New Roman"/>
          <w:sz w:val="24"/>
          <w:szCs w:val="24"/>
          <w:lang w:val="hr-HR"/>
        </w:rPr>
        <w:t xml:space="preserve"> nakon završetka provedbe projekta do isteka roka za amortizaciju novonabavljene opreme</w:t>
      </w:r>
      <w:r w:rsidR="00FB1436" w:rsidRPr="000130D9">
        <w:rPr>
          <w:rFonts w:ascii="Times New Roman" w:hAnsi="Times New Roman" w:cs="Times New Roman"/>
          <w:sz w:val="24"/>
          <w:szCs w:val="24"/>
          <w:lang w:val="hr-HR"/>
        </w:rPr>
        <w:t xml:space="preserve"> i financijskih izvještaja iz kojih je vidljivo da su financiranje, troškovi i prihodi ekonomskih i neekonomskih djelatnosti odvojeni</w:t>
      </w:r>
      <w:r w:rsidR="00DE630E" w:rsidRPr="000130D9">
        <w:rPr>
          <w:rFonts w:ascii="Times New Roman" w:hAnsi="Times New Roman" w:cs="Times New Roman"/>
          <w:sz w:val="24"/>
          <w:szCs w:val="24"/>
          <w:lang w:val="hr-HR"/>
        </w:rPr>
        <w:t xml:space="preserve"> (ukoliko je primjenjivo)</w:t>
      </w:r>
      <w:r w:rsidR="00FB1436" w:rsidRPr="000130D9">
        <w:rPr>
          <w:rFonts w:ascii="Times New Roman" w:hAnsi="Times New Roman" w:cs="Times New Roman"/>
          <w:sz w:val="24"/>
          <w:szCs w:val="24"/>
          <w:lang w:val="hr-HR"/>
        </w:rPr>
        <w:t>.</w:t>
      </w:r>
      <w:r w:rsidR="00DE630E" w:rsidRPr="000130D9">
        <w:rPr>
          <w:rFonts w:ascii="Times New Roman" w:hAnsi="Times New Roman" w:cs="Times New Roman"/>
          <w:sz w:val="24"/>
          <w:szCs w:val="24"/>
          <w:lang w:val="hr-HR"/>
        </w:rPr>
        <w:t xml:space="preserve"> </w:t>
      </w:r>
    </w:p>
    <w:p w14:paraId="11645222" w14:textId="77777777" w:rsidR="005F6ADC" w:rsidRPr="000130D9" w:rsidRDefault="005F6ADC" w:rsidP="000130D9">
      <w:pPr>
        <w:spacing w:after="0"/>
        <w:jc w:val="both"/>
        <w:rPr>
          <w:rFonts w:ascii="Times New Roman" w:hAnsi="Times New Roman" w:cs="Times New Roman"/>
          <w:sz w:val="24"/>
          <w:szCs w:val="24"/>
          <w:lang w:val="hr-HR"/>
        </w:rPr>
      </w:pPr>
    </w:p>
    <w:p w14:paraId="50AFA3D7" w14:textId="6C3F1D74" w:rsidR="005F6ADC" w:rsidRPr="000130D9" w:rsidRDefault="005F6ADC" w:rsidP="000130D9">
      <w:pPr>
        <w:spacing w:after="0"/>
        <w:jc w:val="both"/>
        <w:rPr>
          <w:rFonts w:ascii="Times New Roman" w:hAnsi="Times New Roman" w:cs="Times New Roman"/>
          <w:sz w:val="24"/>
          <w:szCs w:val="24"/>
          <w:u w:val="single"/>
          <w:lang w:val="hr-HR"/>
        </w:rPr>
      </w:pPr>
      <w:r w:rsidRPr="000130D9">
        <w:rPr>
          <w:rFonts w:ascii="Times New Roman" w:hAnsi="Times New Roman" w:cs="Times New Roman"/>
          <w:sz w:val="24"/>
          <w:szCs w:val="24"/>
          <w:u w:val="single"/>
          <w:lang w:val="hr-HR"/>
        </w:rPr>
        <w:t xml:space="preserve">Izvješća o </w:t>
      </w:r>
      <w:r w:rsidR="00B53249">
        <w:rPr>
          <w:rFonts w:ascii="Times New Roman" w:hAnsi="Times New Roman" w:cs="Times New Roman"/>
          <w:sz w:val="24"/>
          <w:szCs w:val="24"/>
          <w:u w:val="single"/>
          <w:lang w:val="hr-HR"/>
        </w:rPr>
        <w:t xml:space="preserve">korištenju kapaciteta (dostaviti će se naknadno) </w:t>
      </w:r>
    </w:p>
    <w:p w14:paraId="7D2D3F80" w14:textId="2D0FA1A8" w:rsidR="00474D97" w:rsidRPr="000130D9" w:rsidRDefault="007E3144" w:rsidP="000130D9">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Partner</w:t>
      </w:r>
      <w:r w:rsidRPr="000130D9">
        <w:rPr>
          <w:rFonts w:ascii="Times New Roman" w:hAnsi="Times New Roman" w:cs="Times New Roman"/>
          <w:sz w:val="24"/>
          <w:szCs w:val="24"/>
          <w:lang w:val="hr-HR"/>
        </w:rPr>
        <w:t xml:space="preserve"> </w:t>
      </w:r>
      <w:r w:rsidR="00DE630E" w:rsidRPr="000130D9">
        <w:rPr>
          <w:rFonts w:ascii="Times New Roman" w:hAnsi="Times New Roman" w:cs="Times New Roman"/>
          <w:sz w:val="24"/>
          <w:szCs w:val="24"/>
          <w:lang w:val="hr-HR"/>
        </w:rPr>
        <w:t xml:space="preserve">(znanstvena organizacija) </w:t>
      </w:r>
      <w:r w:rsidR="00F7083E" w:rsidRPr="000130D9">
        <w:rPr>
          <w:rFonts w:ascii="Times New Roman" w:hAnsi="Times New Roman" w:cs="Times New Roman"/>
          <w:sz w:val="24"/>
          <w:szCs w:val="24"/>
          <w:lang w:val="hr-HR"/>
        </w:rPr>
        <w:t xml:space="preserve">će u godišnjem Izvješću </w:t>
      </w:r>
      <w:r w:rsidR="00614C94" w:rsidRPr="000130D9">
        <w:rPr>
          <w:rFonts w:ascii="Times New Roman" w:hAnsi="Times New Roman" w:cs="Times New Roman"/>
          <w:sz w:val="24"/>
          <w:szCs w:val="24"/>
          <w:lang w:val="hr-HR"/>
        </w:rPr>
        <w:t xml:space="preserve">morati </w:t>
      </w:r>
      <w:r w:rsidR="00E405C4" w:rsidRPr="000130D9">
        <w:rPr>
          <w:rFonts w:ascii="Times New Roman" w:hAnsi="Times New Roman" w:cs="Times New Roman"/>
          <w:sz w:val="24"/>
          <w:szCs w:val="24"/>
          <w:lang w:val="hr-HR"/>
        </w:rPr>
        <w:t xml:space="preserve">navesti </w:t>
      </w:r>
      <w:r w:rsidR="00614C94" w:rsidRPr="000130D9">
        <w:rPr>
          <w:rFonts w:ascii="Times New Roman" w:hAnsi="Times New Roman" w:cs="Times New Roman"/>
          <w:sz w:val="24"/>
          <w:szCs w:val="24"/>
          <w:lang w:val="hr-HR"/>
        </w:rPr>
        <w:t>koliko je radnih sati</w:t>
      </w:r>
      <w:r w:rsidR="00BA4282" w:rsidRPr="000130D9">
        <w:rPr>
          <w:rFonts w:ascii="Times New Roman" w:hAnsi="Times New Roman" w:cs="Times New Roman"/>
          <w:sz w:val="24"/>
          <w:szCs w:val="24"/>
          <w:lang w:val="hr-HR"/>
        </w:rPr>
        <w:t xml:space="preserve"> predmetnog subjekta</w:t>
      </w:r>
      <w:r w:rsidR="00166E1C" w:rsidRPr="000130D9">
        <w:rPr>
          <w:rStyle w:val="FootnoteReference"/>
          <w:rFonts w:ascii="Times New Roman" w:hAnsi="Times New Roman" w:cs="Times New Roman"/>
          <w:sz w:val="24"/>
          <w:szCs w:val="24"/>
          <w:lang w:val="hr-HR"/>
        </w:rPr>
        <w:footnoteReference w:id="10"/>
      </w:r>
      <w:r w:rsidR="00BA4282" w:rsidRPr="000130D9">
        <w:rPr>
          <w:rFonts w:ascii="Times New Roman" w:hAnsi="Times New Roman" w:cs="Times New Roman"/>
          <w:sz w:val="24"/>
          <w:szCs w:val="24"/>
          <w:lang w:val="hr-HR"/>
        </w:rPr>
        <w:t xml:space="preserve"> opremljenog u okviru projekta </w:t>
      </w:r>
      <w:r w:rsidR="00614C94" w:rsidRPr="000130D9">
        <w:rPr>
          <w:rFonts w:ascii="Times New Roman" w:hAnsi="Times New Roman" w:cs="Times New Roman"/>
          <w:sz w:val="24"/>
          <w:szCs w:val="24"/>
          <w:lang w:val="hr-HR"/>
        </w:rPr>
        <w:t>(</w:t>
      </w:r>
      <w:r w:rsidR="00BA4282" w:rsidRPr="000130D9">
        <w:rPr>
          <w:rFonts w:ascii="Times New Roman" w:hAnsi="Times New Roman" w:cs="Times New Roman"/>
          <w:sz w:val="24"/>
          <w:szCs w:val="24"/>
          <w:lang w:val="hr-HR"/>
        </w:rPr>
        <w:t xml:space="preserve">npr. </w:t>
      </w:r>
      <w:r w:rsidR="00614C94" w:rsidRPr="000130D9">
        <w:rPr>
          <w:rFonts w:ascii="Times New Roman" w:hAnsi="Times New Roman" w:cs="Times New Roman"/>
          <w:sz w:val="24"/>
          <w:szCs w:val="24"/>
          <w:lang w:val="hr-HR"/>
        </w:rPr>
        <w:t xml:space="preserve">laboratorija, centra, ustrojstvene jedinice) u vidu korištenja znanstveno-istraživačke opreme, utrošeno na neekonomske i pomoćne ekonomske djelatnosti. </w:t>
      </w:r>
      <w:r w:rsidR="001669E8" w:rsidRPr="000130D9">
        <w:rPr>
          <w:rFonts w:ascii="Times New Roman" w:hAnsi="Times New Roman" w:cs="Times New Roman"/>
          <w:sz w:val="24"/>
          <w:szCs w:val="24"/>
          <w:lang w:val="hr-HR"/>
        </w:rPr>
        <w:t>Uz</w:t>
      </w:r>
      <w:r w:rsidR="00280091" w:rsidRPr="000130D9">
        <w:rPr>
          <w:rFonts w:ascii="Times New Roman" w:hAnsi="Times New Roman" w:cs="Times New Roman"/>
          <w:sz w:val="24"/>
          <w:szCs w:val="24"/>
          <w:lang w:val="hr-HR"/>
        </w:rPr>
        <w:t xml:space="preserve"> </w:t>
      </w:r>
      <w:r w:rsidR="001669E8" w:rsidRPr="000130D9">
        <w:rPr>
          <w:rFonts w:ascii="Times New Roman" w:hAnsi="Times New Roman" w:cs="Times New Roman"/>
          <w:sz w:val="24"/>
          <w:szCs w:val="24"/>
          <w:lang w:val="hr-HR"/>
        </w:rPr>
        <w:t>Izvješće</w:t>
      </w:r>
      <w:r w:rsidR="0067244A">
        <w:rPr>
          <w:rFonts w:ascii="Times New Roman" w:hAnsi="Times New Roman" w:cs="Times New Roman"/>
          <w:sz w:val="24"/>
          <w:szCs w:val="24"/>
          <w:lang w:val="hr-HR"/>
        </w:rPr>
        <w:t>,</w:t>
      </w:r>
      <w:r w:rsidR="007917C8" w:rsidRPr="000130D9">
        <w:rPr>
          <w:rFonts w:ascii="Times New Roman" w:hAnsi="Times New Roman" w:cs="Times New Roman"/>
          <w:sz w:val="24"/>
          <w:szCs w:val="24"/>
          <w:lang w:val="hr-HR"/>
        </w:rPr>
        <w:t xml:space="preserve"> </w:t>
      </w:r>
      <w:r>
        <w:rPr>
          <w:rFonts w:ascii="Times New Roman" w:hAnsi="Times New Roman" w:cs="Times New Roman"/>
          <w:sz w:val="24"/>
          <w:szCs w:val="24"/>
          <w:lang w:val="hr-HR"/>
        </w:rPr>
        <w:t>partner</w:t>
      </w:r>
      <w:r w:rsidRPr="000130D9">
        <w:rPr>
          <w:rFonts w:ascii="Times New Roman" w:hAnsi="Times New Roman" w:cs="Times New Roman"/>
          <w:sz w:val="24"/>
          <w:szCs w:val="24"/>
          <w:lang w:val="hr-HR"/>
        </w:rPr>
        <w:t xml:space="preserve"> </w:t>
      </w:r>
      <w:r w:rsidR="007917C8" w:rsidRPr="000130D9">
        <w:rPr>
          <w:rFonts w:ascii="Times New Roman" w:hAnsi="Times New Roman" w:cs="Times New Roman"/>
          <w:sz w:val="24"/>
          <w:szCs w:val="24"/>
          <w:lang w:val="hr-HR"/>
        </w:rPr>
        <w:t>će morati dostaviti</w:t>
      </w:r>
      <w:r w:rsidR="00E405C4" w:rsidRPr="000130D9">
        <w:rPr>
          <w:rFonts w:ascii="Times New Roman" w:hAnsi="Times New Roman" w:cs="Times New Roman"/>
          <w:sz w:val="24"/>
          <w:szCs w:val="24"/>
          <w:lang w:val="hr-HR"/>
        </w:rPr>
        <w:t xml:space="preserve"> interni</w:t>
      </w:r>
      <w:r w:rsidR="007917C8" w:rsidRPr="000130D9">
        <w:rPr>
          <w:rFonts w:ascii="Times New Roman" w:hAnsi="Times New Roman" w:cs="Times New Roman"/>
          <w:sz w:val="24"/>
          <w:szCs w:val="24"/>
          <w:lang w:val="hr-HR"/>
        </w:rPr>
        <w:t xml:space="preserve"> </w:t>
      </w:r>
      <w:r w:rsidR="00280091" w:rsidRPr="000130D9">
        <w:rPr>
          <w:rFonts w:ascii="Times New Roman" w:hAnsi="Times New Roman" w:cs="Times New Roman"/>
          <w:sz w:val="24"/>
          <w:szCs w:val="24"/>
          <w:lang w:val="hr-HR"/>
        </w:rPr>
        <w:t xml:space="preserve">očevidnik korištenja </w:t>
      </w:r>
      <w:r w:rsidR="00E405C4" w:rsidRPr="000130D9">
        <w:rPr>
          <w:rFonts w:ascii="Times New Roman" w:hAnsi="Times New Roman" w:cs="Times New Roman"/>
          <w:sz w:val="24"/>
          <w:szCs w:val="24"/>
          <w:lang w:val="hr-HR"/>
        </w:rPr>
        <w:t xml:space="preserve">kapaciteta </w:t>
      </w:r>
      <w:r w:rsidR="00F30DF8" w:rsidRPr="000130D9">
        <w:rPr>
          <w:rFonts w:ascii="Times New Roman" w:hAnsi="Times New Roman" w:cs="Times New Roman"/>
          <w:sz w:val="24"/>
          <w:szCs w:val="24"/>
          <w:lang w:val="hr-HR"/>
        </w:rPr>
        <w:t>predmetnog subjekta</w:t>
      </w:r>
      <w:r w:rsidR="007917C8" w:rsidRPr="000130D9">
        <w:rPr>
          <w:rFonts w:ascii="Times New Roman" w:hAnsi="Times New Roman" w:cs="Times New Roman"/>
          <w:sz w:val="24"/>
          <w:szCs w:val="24"/>
          <w:lang w:val="hr-HR"/>
        </w:rPr>
        <w:t>.</w:t>
      </w:r>
      <w:r w:rsidR="00D64EDF" w:rsidRPr="000130D9">
        <w:rPr>
          <w:rFonts w:ascii="Times New Roman" w:hAnsi="Times New Roman" w:cs="Times New Roman"/>
          <w:sz w:val="24"/>
          <w:szCs w:val="24"/>
          <w:lang w:val="hr-HR" w:bidi="hr-HR"/>
        </w:rPr>
        <w:t xml:space="preserve"> </w:t>
      </w:r>
      <w:r w:rsidR="009162D7" w:rsidRPr="000130D9">
        <w:rPr>
          <w:rFonts w:ascii="Times New Roman" w:hAnsi="Times New Roman" w:cs="Times New Roman"/>
          <w:sz w:val="24"/>
          <w:szCs w:val="24"/>
          <w:lang w:val="hr-HR"/>
        </w:rPr>
        <w:t>Izvješće se dostavlja jednom godišnje nakon završetka provedbe projekta</w:t>
      </w:r>
      <w:r w:rsidR="0023739D" w:rsidRPr="000130D9">
        <w:rPr>
          <w:rFonts w:ascii="Times New Roman" w:hAnsi="Times New Roman" w:cs="Times New Roman"/>
          <w:sz w:val="24"/>
          <w:szCs w:val="24"/>
          <w:lang w:val="hr-HR"/>
        </w:rPr>
        <w:t>.</w:t>
      </w:r>
      <w:r w:rsidR="009162D7" w:rsidRPr="000130D9">
        <w:rPr>
          <w:rFonts w:ascii="Times New Roman" w:hAnsi="Times New Roman" w:cs="Times New Roman"/>
          <w:sz w:val="24"/>
          <w:szCs w:val="24"/>
          <w:lang w:val="hr-HR"/>
        </w:rPr>
        <w:t xml:space="preserve"> </w:t>
      </w:r>
    </w:p>
    <w:p w14:paraId="4BEA0DE1" w14:textId="77777777" w:rsidR="00DE630E" w:rsidRPr="000130D9" w:rsidRDefault="00DE630E" w:rsidP="000130D9">
      <w:pPr>
        <w:spacing w:after="0"/>
        <w:jc w:val="both"/>
        <w:rPr>
          <w:rFonts w:ascii="Times New Roman" w:hAnsi="Times New Roman" w:cs="Times New Roman"/>
          <w:sz w:val="24"/>
          <w:szCs w:val="24"/>
          <w:lang w:val="hr-HR"/>
        </w:rPr>
      </w:pPr>
    </w:p>
    <w:p w14:paraId="6D235EA8" w14:textId="188BF110" w:rsidR="003C3396" w:rsidRPr="000130D9" w:rsidRDefault="000C1ABB"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Ukoliko dođe do toga da </w:t>
      </w:r>
      <w:r w:rsidR="007E3144">
        <w:rPr>
          <w:rFonts w:ascii="Times New Roman" w:hAnsi="Times New Roman" w:cs="Times New Roman"/>
          <w:sz w:val="24"/>
          <w:szCs w:val="24"/>
          <w:lang w:val="hr-HR"/>
        </w:rPr>
        <w:t>partner</w:t>
      </w:r>
      <w:r w:rsidR="007E3144"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više od 20% kapaciteta</w:t>
      </w:r>
      <w:r w:rsidR="004554A6" w:rsidRPr="000130D9">
        <w:rPr>
          <w:rFonts w:ascii="Times New Roman" w:hAnsi="Times New Roman" w:cs="Times New Roman"/>
          <w:sz w:val="24"/>
          <w:szCs w:val="24"/>
          <w:lang w:val="hr-HR"/>
        </w:rPr>
        <w:t xml:space="preserve"> </w:t>
      </w:r>
      <w:r w:rsidR="00F30DF8" w:rsidRPr="000130D9">
        <w:rPr>
          <w:rFonts w:ascii="Times New Roman" w:hAnsi="Times New Roman" w:cs="Times New Roman"/>
          <w:sz w:val="24"/>
          <w:szCs w:val="24"/>
          <w:lang w:val="hr-HR"/>
        </w:rPr>
        <w:t>predmetnog subjekta</w:t>
      </w:r>
      <w:r w:rsidR="00500C5A"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godišnje iskoristi za ekonomske aktivnosti, mora doći do povrata dijela sredstava</w:t>
      </w:r>
      <w:r w:rsidR="005C22DB" w:rsidRPr="000130D9">
        <w:rPr>
          <w:rFonts w:ascii="Times New Roman" w:hAnsi="Times New Roman" w:cs="Times New Roman"/>
          <w:i/>
          <w:sz w:val="24"/>
          <w:szCs w:val="24"/>
          <w:lang w:val="hr-HR" w:bidi="hr-HR"/>
        </w:rPr>
        <w:t xml:space="preserve"> </w:t>
      </w:r>
      <w:r w:rsidR="005C22DB" w:rsidRPr="000130D9">
        <w:rPr>
          <w:rFonts w:ascii="Times New Roman" w:hAnsi="Times New Roman" w:cs="Times New Roman"/>
          <w:sz w:val="24"/>
          <w:szCs w:val="24"/>
          <w:lang w:val="hr-HR" w:bidi="hr-HR"/>
        </w:rPr>
        <w:t>u iznosu koji je sukladan omjeru tih ekonomskih aktivnosti</w:t>
      </w:r>
      <w:r w:rsidRPr="000130D9">
        <w:rPr>
          <w:rFonts w:ascii="Times New Roman" w:hAnsi="Times New Roman" w:cs="Times New Roman"/>
          <w:sz w:val="24"/>
          <w:szCs w:val="24"/>
          <w:lang w:val="hr-HR"/>
        </w:rPr>
        <w:t>.</w:t>
      </w:r>
      <w:r w:rsidR="004554A6" w:rsidRPr="000130D9">
        <w:rPr>
          <w:rFonts w:ascii="Times New Roman" w:hAnsi="Times New Roman" w:cs="Times New Roman"/>
          <w:sz w:val="24"/>
          <w:szCs w:val="24"/>
          <w:lang w:val="hr-HR"/>
        </w:rPr>
        <w:t xml:space="preserve"> </w:t>
      </w:r>
    </w:p>
    <w:p w14:paraId="00F33EC8" w14:textId="77777777" w:rsidR="009D0FBF" w:rsidRPr="000130D9" w:rsidRDefault="009D0FBF" w:rsidP="000130D9">
      <w:pPr>
        <w:pStyle w:val="ListParagraph"/>
        <w:spacing w:after="0"/>
        <w:ind w:left="0"/>
        <w:jc w:val="both"/>
        <w:rPr>
          <w:rFonts w:ascii="Times New Roman" w:hAnsi="Times New Roman" w:cs="Times New Roman"/>
          <w:sz w:val="24"/>
          <w:szCs w:val="24"/>
          <w:lang w:val="hr-HR"/>
        </w:rPr>
      </w:pPr>
    </w:p>
    <w:p w14:paraId="0EBC39EE" w14:textId="5F5C0B0E" w:rsidR="00474D97" w:rsidRDefault="004554A6"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 slučaju da je znanstvena organizacija kroz više ugovora</w:t>
      </w:r>
      <w:r w:rsidR="003C3396" w:rsidRPr="000130D9">
        <w:rPr>
          <w:rFonts w:ascii="Times New Roman" w:hAnsi="Times New Roman" w:cs="Times New Roman"/>
          <w:sz w:val="24"/>
          <w:szCs w:val="24"/>
          <w:lang w:val="hr-HR"/>
        </w:rPr>
        <w:t xml:space="preserve"> u okviru ovog P</w:t>
      </w:r>
      <w:r w:rsidR="006E6CB2" w:rsidRPr="000130D9">
        <w:rPr>
          <w:rFonts w:ascii="Times New Roman" w:hAnsi="Times New Roman" w:cs="Times New Roman"/>
          <w:sz w:val="24"/>
          <w:szCs w:val="24"/>
          <w:lang w:val="hr-HR"/>
        </w:rPr>
        <w:t>oziva</w:t>
      </w:r>
      <w:r w:rsidRPr="000130D9">
        <w:rPr>
          <w:rFonts w:ascii="Times New Roman" w:hAnsi="Times New Roman" w:cs="Times New Roman"/>
          <w:sz w:val="24"/>
          <w:szCs w:val="24"/>
          <w:lang w:val="hr-HR"/>
        </w:rPr>
        <w:t xml:space="preserve"> (</w:t>
      </w:r>
      <w:r w:rsidR="00302A40">
        <w:rPr>
          <w:rFonts w:ascii="Times New Roman" w:hAnsi="Times New Roman" w:cs="Times New Roman"/>
          <w:sz w:val="24"/>
          <w:szCs w:val="24"/>
          <w:lang w:val="hr-HR"/>
        </w:rPr>
        <w:t>poglavlje</w:t>
      </w:r>
      <w:r w:rsidRPr="000130D9">
        <w:rPr>
          <w:rFonts w:ascii="Times New Roman" w:hAnsi="Times New Roman" w:cs="Times New Roman"/>
          <w:sz w:val="24"/>
          <w:szCs w:val="24"/>
          <w:lang w:val="hr-HR"/>
        </w:rPr>
        <w:t xml:space="preserve"> 2.4. Uputa)</w:t>
      </w:r>
      <w:r w:rsidR="006E6CB2" w:rsidRPr="000130D9">
        <w:rPr>
          <w:rFonts w:ascii="Times New Roman" w:hAnsi="Times New Roman" w:cs="Times New Roman"/>
          <w:sz w:val="24"/>
          <w:szCs w:val="24"/>
          <w:lang w:val="hr-HR"/>
        </w:rPr>
        <w:t xml:space="preserve"> opremila ist</w:t>
      </w:r>
      <w:r w:rsidR="00F30DF8" w:rsidRPr="000130D9">
        <w:rPr>
          <w:rFonts w:ascii="Times New Roman" w:hAnsi="Times New Roman" w:cs="Times New Roman"/>
          <w:sz w:val="24"/>
          <w:szCs w:val="24"/>
          <w:lang w:val="hr-HR"/>
        </w:rPr>
        <w:t>i subjekt</w:t>
      </w:r>
      <w:r w:rsidR="006E6CB2" w:rsidRPr="000130D9">
        <w:rPr>
          <w:rFonts w:ascii="Times New Roman" w:hAnsi="Times New Roman" w:cs="Times New Roman"/>
          <w:sz w:val="24"/>
          <w:szCs w:val="24"/>
          <w:lang w:val="hr-HR"/>
        </w:rPr>
        <w:t xml:space="preserve"> napominjemo da će se i u tom slučaju gledati </w:t>
      </w:r>
      <w:r w:rsidR="00F30DF8" w:rsidRPr="000130D9">
        <w:rPr>
          <w:rFonts w:ascii="Times New Roman" w:hAnsi="Times New Roman" w:cs="Times New Roman"/>
          <w:sz w:val="24"/>
          <w:szCs w:val="24"/>
          <w:lang w:val="hr-HR"/>
        </w:rPr>
        <w:t xml:space="preserve">ukupni </w:t>
      </w:r>
      <w:r w:rsidR="006E6CB2" w:rsidRPr="000130D9">
        <w:rPr>
          <w:rFonts w:ascii="Times New Roman" w:hAnsi="Times New Roman" w:cs="Times New Roman"/>
          <w:sz w:val="24"/>
          <w:szCs w:val="24"/>
          <w:lang w:val="hr-HR"/>
        </w:rPr>
        <w:t xml:space="preserve">kapacitet </w:t>
      </w:r>
      <w:r w:rsidR="00F30DF8" w:rsidRPr="000130D9">
        <w:rPr>
          <w:rFonts w:ascii="Times New Roman" w:hAnsi="Times New Roman" w:cs="Times New Roman"/>
          <w:sz w:val="24"/>
          <w:szCs w:val="24"/>
          <w:lang w:val="hr-HR"/>
        </w:rPr>
        <w:t>subjekta</w:t>
      </w:r>
      <w:r w:rsidR="006E6CB2" w:rsidRPr="000130D9">
        <w:rPr>
          <w:rFonts w:ascii="Times New Roman" w:hAnsi="Times New Roman" w:cs="Times New Roman"/>
          <w:sz w:val="24"/>
          <w:szCs w:val="24"/>
          <w:lang w:val="hr-HR"/>
        </w:rPr>
        <w:t xml:space="preserve">, i da ne smije premašiti 20% </w:t>
      </w:r>
      <w:r w:rsidR="003C38B0" w:rsidRPr="000130D9">
        <w:rPr>
          <w:rFonts w:ascii="Times New Roman" w:hAnsi="Times New Roman" w:cs="Times New Roman"/>
          <w:sz w:val="24"/>
          <w:szCs w:val="24"/>
          <w:lang w:val="hr-HR"/>
        </w:rPr>
        <w:t xml:space="preserve">kapaciteta </w:t>
      </w:r>
      <w:r w:rsidR="006E6CB2" w:rsidRPr="000130D9">
        <w:rPr>
          <w:rFonts w:ascii="Times New Roman" w:hAnsi="Times New Roman" w:cs="Times New Roman"/>
          <w:sz w:val="24"/>
          <w:szCs w:val="24"/>
          <w:lang w:val="hr-HR"/>
        </w:rPr>
        <w:t>za ekonomske djelatnosti kako ne bi došlo do povrata sredstava.</w:t>
      </w:r>
    </w:p>
    <w:p w14:paraId="2D9883E5" w14:textId="77777777" w:rsidR="00B53249" w:rsidRDefault="00B53249" w:rsidP="000130D9">
      <w:pPr>
        <w:pStyle w:val="ListParagraph"/>
        <w:spacing w:after="0"/>
        <w:ind w:left="0"/>
        <w:jc w:val="both"/>
        <w:rPr>
          <w:rFonts w:ascii="Times New Roman" w:hAnsi="Times New Roman" w:cs="Times New Roman"/>
          <w:sz w:val="24"/>
          <w:szCs w:val="24"/>
          <w:lang w:val="hr-HR"/>
        </w:rPr>
      </w:pPr>
    </w:p>
    <w:p w14:paraId="4F08AA94" w14:textId="77777777" w:rsidR="00B53249" w:rsidRPr="000130D9" w:rsidRDefault="00B53249" w:rsidP="000130D9">
      <w:pPr>
        <w:pStyle w:val="ListParagraph"/>
        <w:spacing w:after="0"/>
        <w:ind w:left="0"/>
        <w:jc w:val="both"/>
        <w:rPr>
          <w:rFonts w:ascii="Times New Roman" w:hAnsi="Times New Roman" w:cs="Times New Roman"/>
          <w:sz w:val="24"/>
          <w:szCs w:val="24"/>
          <w:lang w:val="hr-HR"/>
        </w:rPr>
      </w:pPr>
    </w:p>
    <w:p w14:paraId="641EE8DF" w14:textId="77777777" w:rsidR="00B65D21" w:rsidRPr="000130D9" w:rsidRDefault="00B65D21" w:rsidP="000130D9">
      <w:pPr>
        <w:pStyle w:val="ListParagraph"/>
        <w:spacing w:after="0"/>
        <w:ind w:left="0"/>
        <w:jc w:val="both"/>
        <w:rPr>
          <w:rFonts w:ascii="Times New Roman" w:hAnsi="Times New Roman" w:cs="Times New Roman"/>
          <w:sz w:val="24"/>
          <w:szCs w:val="24"/>
          <w:u w:val="single"/>
          <w:lang w:val="hr-HR" w:bidi="hr-HR"/>
        </w:rPr>
      </w:pPr>
      <w:r w:rsidRPr="000130D9">
        <w:rPr>
          <w:rFonts w:ascii="Times New Roman" w:hAnsi="Times New Roman" w:cs="Times New Roman"/>
          <w:sz w:val="24"/>
          <w:szCs w:val="24"/>
          <w:u w:val="single"/>
          <w:lang w:val="hr-HR" w:bidi="hr-HR"/>
        </w:rPr>
        <w:t>Financijski izvještaji</w:t>
      </w:r>
    </w:p>
    <w:p w14:paraId="10D89206" w14:textId="12B57AF4" w:rsidR="007F1D63" w:rsidRPr="000130D9" w:rsidRDefault="007F1D63"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bidi="hr-HR"/>
        </w:rPr>
        <w:t xml:space="preserve">Ukoliko je primjenjivo, </w:t>
      </w:r>
      <w:r w:rsidR="00A64AE8" w:rsidRPr="000130D9">
        <w:rPr>
          <w:rFonts w:ascii="Times New Roman" w:hAnsi="Times New Roman" w:cs="Times New Roman"/>
          <w:sz w:val="24"/>
          <w:szCs w:val="24"/>
          <w:lang w:val="hr-HR" w:bidi="hr-HR"/>
        </w:rPr>
        <w:t xml:space="preserve">odnosno ako </w:t>
      </w:r>
      <w:r w:rsidR="007E3144">
        <w:rPr>
          <w:rFonts w:ascii="Times New Roman" w:hAnsi="Times New Roman" w:cs="Times New Roman"/>
          <w:sz w:val="24"/>
          <w:szCs w:val="24"/>
          <w:lang w:val="hr-HR" w:bidi="hr-HR"/>
        </w:rPr>
        <w:t>partner</w:t>
      </w:r>
      <w:r w:rsidR="007E3144" w:rsidRPr="000130D9">
        <w:rPr>
          <w:rFonts w:ascii="Times New Roman" w:hAnsi="Times New Roman" w:cs="Times New Roman"/>
          <w:sz w:val="24"/>
          <w:szCs w:val="24"/>
          <w:lang w:val="hr-HR" w:bidi="hr-HR"/>
        </w:rPr>
        <w:t xml:space="preserve"> </w:t>
      </w:r>
      <w:r w:rsidR="00A64AE8" w:rsidRPr="000130D9">
        <w:rPr>
          <w:rFonts w:ascii="Times New Roman" w:hAnsi="Times New Roman" w:cs="Times New Roman"/>
          <w:sz w:val="24"/>
          <w:szCs w:val="24"/>
          <w:lang w:val="hr-HR"/>
        </w:rPr>
        <w:t xml:space="preserve">provodi ili počne provoditi neekonomsku i ekonomsku djelatnost, </w:t>
      </w:r>
      <w:r w:rsidRPr="000130D9">
        <w:rPr>
          <w:rFonts w:ascii="Times New Roman" w:hAnsi="Times New Roman" w:cs="Times New Roman"/>
          <w:sz w:val="24"/>
          <w:szCs w:val="24"/>
          <w:lang w:val="hr-HR"/>
        </w:rPr>
        <w:t>znanstvena organizacija</w:t>
      </w:r>
      <w:r w:rsidR="00A64AE8" w:rsidRPr="000130D9">
        <w:rPr>
          <w:rFonts w:ascii="Times New Roman" w:hAnsi="Times New Roman" w:cs="Times New Roman"/>
          <w:sz w:val="24"/>
          <w:szCs w:val="24"/>
          <w:lang w:val="hr-HR"/>
        </w:rPr>
        <w:t xml:space="preserve"> mora dostavljati financijske izvještaje</w:t>
      </w:r>
      <w:r w:rsidRPr="000130D9">
        <w:rPr>
          <w:rFonts w:ascii="Times New Roman" w:hAnsi="Times New Roman" w:cs="Times New Roman"/>
          <w:sz w:val="24"/>
          <w:szCs w:val="24"/>
          <w:lang w:val="hr-HR"/>
        </w:rPr>
        <w:t xml:space="preserve"> iz kojih je vidljiva raspodjela ekonomskih i neekonomskih djelatnosti (raspodjela troškova, izvora </w:t>
      </w:r>
      <w:r w:rsidRPr="000130D9">
        <w:rPr>
          <w:rFonts w:ascii="Times New Roman" w:hAnsi="Times New Roman" w:cs="Times New Roman"/>
          <w:sz w:val="24"/>
          <w:szCs w:val="24"/>
          <w:lang w:val="hr-HR"/>
        </w:rPr>
        <w:lastRenderedPageBreak/>
        <w:t xml:space="preserve">financijskih sredstava i prihoda). </w:t>
      </w:r>
      <w:r w:rsidR="00A64AE8" w:rsidRPr="000130D9">
        <w:rPr>
          <w:rFonts w:ascii="Times New Roman" w:hAnsi="Times New Roman" w:cs="Times New Roman"/>
          <w:sz w:val="24"/>
          <w:szCs w:val="24"/>
          <w:lang w:val="hr-HR"/>
        </w:rPr>
        <w:t>Financijski izvještaji dostavljaju se</w:t>
      </w:r>
      <w:r w:rsidRPr="000130D9">
        <w:rPr>
          <w:rFonts w:ascii="Times New Roman" w:hAnsi="Times New Roman" w:cs="Times New Roman"/>
          <w:sz w:val="24"/>
          <w:szCs w:val="24"/>
          <w:lang w:val="hr-HR"/>
        </w:rPr>
        <w:t xml:space="preserve"> uz Izvješća o korištenju kapaciteta i u istom roku. </w:t>
      </w:r>
    </w:p>
    <w:p w14:paraId="0178A07F" w14:textId="77777777" w:rsidR="003920D6" w:rsidRPr="000130D9" w:rsidRDefault="003920D6">
      <w:pPr>
        <w:tabs>
          <w:tab w:val="left" w:pos="0"/>
        </w:tabs>
        <w:rPr>
          <w:rFonts w:ascii="Times New Roman" w:hAnsi="Times New Roman" w:cs="Times New Roman"/>
          <w:lang w:val="hr-HR" w:bidi="hr-HR"/>
        </w:rPr>
      </w:pPr>
    </w:p>
    <w:p w14:paraId="0BB1E9DA" w14:textId="383475C6" w:rsidR="003920D6" w:rsidRPr="000130D9" w:rsidRDefault="003920D6" w:rsidP="00B53249">
      <w:pPr>
        <w:tabs>
          <w:tab w:val="left" w:pos="0"/>
        </w:tabs>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w:t>
      </w:r>
      <w:r w:rsidR="00C0094C"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vanje svih pravila o državnim potporama navedenim u ovim Smjernicama, a vezano za ista, u formalnom smislu </w:t>
      </w:r>
      <w:r w:rsidR="00302A40">
        <w:rPr>
          <w:rFonts w:ascii="Times New Roman" w:hAnsi="Times New Roman" w:cs="Times New Roman"/>
          <w:sz w:val="24"/>
          <w:szCs w:val="24"/>
          <w:lang w:val="hr-HR" w:bidi="hr-HR"/>
        </w:rPr>
        <w:t>partneri</w:t>
      </w:r>
      <w:r w:rsidR="00302A40" w:rsidRPr="000130D9">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moraju:</w:t>
      </w:r>
    </w:p>
    <w:p w14:paraId="43650F23" w14:textId="4F96FE27" w:rsidR="003920D6" w:rsidRPr="000130D9" w:rsidRDefault="00302A40" w:rsidP="00C316F5">
      <w:pPr>
        <w:pStyle w:val="ListParagraph"/>
        <w:numPr>
          <w:ilvl w:val="0"/>
          <w:numId w:val="7"/>
        </w:num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u</w:t>
      </w:r>
      <w:r w:rsidR="003920D6" w:rsidRPr="000130D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Izjavi partnera (Obrazac 3.)</w:t>
      </w:r>
      <w:r w:rsidR="003920D6" w:rsidRPr="000130D9">
        <w:rPr>
          <w:rFonts w:ascii="Times New Roman" w:hAnsi="Times New Roman" w:cs="Times New Roman"/>
          <w:sz w:val="24"/>
          <w:szCs w:val="24"/>
          <w:lang w:val="hr-HR" w:bidi="hr-HR"/>
        </w:rPr>
        <w:t xml:space="preserve"> navesti da sredstva dodijeljena temeljem ovog Poziva neće koristiti za ekonomske djelatnosti</w:t>
      </w:r>
      <w:r w:rsidR="003A65BE" w:rsidRPr="000130D9">
        <w:rPr>
          <w:rFonts w:ascii="Times New Roman" w:hAnsi="Times New Roman" w:cs="Times New Roman"/>
          <w:sz w:val="24"/>
          <w:szCs w:val="24"/>
          <w:lang w:val="hr-HR" w:bidi="hr-HR"/>
        </w:rPr>
        <w:t>,</w:t>
      </w:r>
      <w:r w:rsidR="003920D6" w:rsidRPr="000130D9">
        <w:rPr>
          <w:rFonts w:ascii="Times New Roman" w:hAnsi="Times New Roman" w:cs="Times New Roman"/>
          <w:sz w:val="24"/>
          <w:szCs w:val="24"/>
          <w:lang w:val="hr-HR" w:bidi="hr-HR"/>
        </w:rPr>
        <w:t xml:space="preserve"> </w:t>
      </w:r>
    </w:p>
    <w:p w14:paraId="170286E0" w14:textId="6EA0F41C" w:rsidR="003920D6" w:rsidRDefault="00302A40" w:rsidP="00C316F5">
      <w:pPr>
        <w:pStyle w:val="ListParagraph"/>
        <w:numPr>
          <w:ilvl w:val="0"/>
          <w:numId w:val="7"/>
        </w:num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u</w:t>
      </w:r>
      <w:r w:rsidR="003920D6" w:rsidRPr="000130D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3.) </w:t>
      </w:r>
      <w:r w:rsidR="003920D6" w:rsidRPr="000130D9">
        <w:rPr>
          <w:rFonts w:ascii="Times New Roman" w:hAnsi="Times New Roman" w:cs="Times New Roman"/>
          <w:sz w:val="24"/>
          <w:szCs w:val="24"/>
          <w:lang w:val="hr-HR" w:bidi="hr-HR"/>
        </w:rPr>
        <w:t xml:space="preserve"> navesti da će odvojeno voditi ekonomske i neekonomske djelatnosti, ukoliko je primjenjivo</w:t>
      </w:r>
      <w:r w:rsidR="003A65BE" w:rsidRPr="000130D9">
        <w:rPr>
          <w:rFonts w:ascii="Times New Roman" w:hAnsi="Times New Roman" w:cs="Times New Roman"/>
          <w:sz w:val="24"/>
          <w:szCs w:val="24"/>
          <w:lang w:val="hr-HR" w:bidi="hr-HR"/>
        </w:rPr>
        <w:t>,</w:t>
      </w:r>
    </w:p>
    <w:p w14:paraId="409F7247" w14:textId="36813E48" w:rsidR="002E168D" w:rsidRPr="002E168D" w:rsidRDefault="00302A40" w:rsidP="00C316F5">
      <w:pPr>
        <w:pStyle w:val="ListParagraph"/>
        <w:numPr>
          <w:ilvl w:val="0"/>
          <w:numId w:val="7"/>
        </w:num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u</w:t>
      </w:r>
      <w:r w:rsidR="002E168D">
        <w:rPr>
          <w:rFonts w:ascii="Times New Roman" w:hAnsi="Times New Roman" w:cs="Times New Roman"/>
          <w:sz w:val="24"/>
          <w:szCs w:val="24"/>
          <w:lang w:val="hr-HR" w:bidi="hr-HR"/>
        </w:rPr>
        <w:t xml:space="preserve"> Izjavi</w:t>
      </w:r>
      <w:r w:rsidR="002E168D" w:rsidRPr="002E168D">
        <w:rPr>
          <w:rFonts w:ascii="Times New Roman" w:hAnsi="Times New Roman" w:cs="Times New Roman"/>
          <w:sz w:val="24"/>
          <w:szCs w:val="24"/>
          <w:lang w:val="hr-HR" w:bidi="hr-HR"/>
        </w:rPr>
        <w:t xml:space="preserve"> partnera (</w:t>
      </w:r>
      <w:r w:rsidR="002E168D">
        <w:rPr>
          <w:rFonts w:ascii="Times New Roman" w:hAnsi="Times New Roman" w:cs="Times New Roman"/>
          <w:sz w:val="24"/>
          <w:szCs w:val="24"/>
          <w:lang w:val="hr-HR" w:bidi="hr-HR"/>
        </w:rPr>
        <w:t>O</w:t>
      </w:r>
      <w:r w:rsidR="002E168D" w:rsidRPr="002E168D">
        <w:rPr>
          <w:rFonts w:ascii="Times New Roman" w:hAnsi="Times New Roman" w:cs="Times New Roman"/>
          <w:sz w:val="24"/>
          <w:szCs w:val="24"/>
          <w:lang w:val="hr-HR" w:bidi="hr-HR"/>
        </w:rPr>
        <w:t>brazac</w:t>
      </w:r>
      <w:r w:rsidR="002E168D">
        <w:rPr>
          <w:rFonts w:ascii="Times New Roman" w:hAnsi="Times New Roman" w:cs="Times New Roman"/>
          <w:sz w:val="24"/>
          <w:szCs w:val="24"/>
          <w:lang w:val="hr-HR" w:bidi="hr-HR"/>
        </w:rPr>
        <w:t xml:space="preserve"> </w:t>
      </w:r>
      <w:r w:rsidR="00ED19EA">
        <w:rPr>
          <w:rFonts w:ascii="Times New Roman" w:hAnsi="Times New Roman" w:cs="Times New Roman"/>
          <w:sz w:val="24"/>
          <w:szCs w:val="24"/>
          <w:lang w:val="hr-HR" w:bidi="hr-HR"/>
        </w:rPr>
        <w:t>3</w:t>
      </w:r>
      <w:r w:rsidR="002E168D">
        <w:rPr>
          <w:rFonts w:ascii="Times New Roman" w:hAnsi="Times New Roman" w:cs="Times New Roman"/>
          <w:sz w:val="24"/>
          <w:szCs w:val="24"/>
          <w:lang w:val="hr-HR" w:bidi="hr-HR"/>
        </w:rPr>
        <w:t>.</w:t>
      </w:r>
      <w:r w:rsidR="002E168D" w:rsidRPr="002E168D">
        <w:rPr>
          <w:rFonts w:ascii="Times New Roman" w:hAnsi="Times New Roman" w:cs="Times New Roman"/>
          <w:sz w:val="24"/>
          <w:szCs w:val="24"/>
          <w:lang w:val="hr-HR" w:bidi="hr-HR"/>
        </w:rPr>
        <w:t>)</w:t>
      </w:r>
      <w:r w:rsidR="002E168D" w:rsidRPr="002E168D">
        <w:t xml:space="preserve"> </w:t>
      </w:r>
      <w:r w:rsidR="002E168D" w:rsidRPr="002E168D">
        <w:rPr>
          <w:rFonts w:ascii="Times New Roman" w:hAnsi="Times New Roman" w:cs="Times New Roman"/>
          <w:sz w:val="24"/>
          <w:szCs w:val="24"/>
          <w:lang w:val="hr-HR" w:bidi="hr-HR"/>
        </w:rPr>
        <w:t xml:space="preserve"> da ekonomske djelatnosti koje se sastoje od ponude proizvoda ili usluga na određenom tržištu ne premašuju 20% ukupnih godišnjih kapaciteta istraživačke organizacije</w:t>
      </w:r>
      <w:r>
        <w:rPr>
          <w:rFonts w:ascii="Times New Roman" w:hAnsi="Times New Roman" w:cs="Times New Roman"/>
          <w:sz w:val="24"/>
          <w:szCs w:val="24"/>
          <w:lang w:val="hr-HR" w:bidi="hr-HR"/>
        </w:rPr>
        <w:t>.</w:t>
      </w:r>
      <w:r w:rsidR="002E168D">
        <w:rPr>
          <w:rFonts w:ascii="Times New Roman" w:hAnsi="Times New Roman" w:cs="Times New Roman"/>
          <w:sz w:val="24"/>
          <w:szCs w:val="24"/>
          <w:lang w:val="hr-HR" w:bidi="hr-HR"/>
        </w:rPr>
        <w:t xml:space="preserve"> </w:t>
      </w:r>
    </w:p>
    <w:p w14:paraId="1EB95B0D" w14:textId="77777777" w:rsidR="0080310D" w:rsidRPr="000130D9" w:rsidRDefault="0080310D" w:rsidP="000130D9">
      <w:pPr>
        <w:spacing w:after="0"/>
        <w:jc w:val="both"/>
        <w:rPr>
          <w:rFonts w:ascii="Times New Roman" w:hAnsi="Times New Roman" w:cs="Times New Roman"/>
          <w:sz w:val="24"/>
          <w:szCs w:val="24"/>
          <w:lang w:val="hr-HR" w:bidi="hr-HR"/>
        </w:rPr>
      </w:pPr>
    </w:p>
    <w:p w14:paraId="47E6BF63" w14:textId="77777777" w:rsidR="0080310D" w:rsidRPr="000130D9" w:rsidRDefault="0080310D" w:rsidP="000130D9">
      <w:pPr>
        <w:spacing w:after="0"/>
        <w:jc w:val="both"/>
        <w:rPr>
          <w:rFonts w:ascii="Times New Roman" w:hAnsi="Times New Roman" w:cs="Times New Roman"/>
          <w:sz w:val="24"/>
          <w:szCs w:val="24"/>
          <w:lang w:val="hr-HR" w:bidi="hr-HR"/>
        </w:rPr>
      </w:pPr>
    </w:p>
    <w:p w14:paraId="7A49259C" w14:textId="77777777" w:rsidR="003920D6" w:rsidRPr="000F133D" w:rsidRDefault="00C0094C" w:rsidP="008C54D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Uvjeti za poduzetnike</w:t>
      </w:r>
    </w:p>
    <w:p w14:paraId="6334BA0C" w14:textId="77777777" w:rsidR="00B65D21" w:rsidRPr="000130D9" w:rsidRDefault="00B65D21">
      <w:pPr>
        <w:pStyle w:val="ListParagraph"/>
        <w:ind w:left="0"/>
        <w:jc w:val="both"/>
        <w:rPr>
          <w:rFonts w:ascii="Times New Roman" w:hAnsi="Times New Roman" w:cs="Times New Roman"/>
          <w:u w:val="single"/>
          <w:lang w:val="hr-HR" w:bidi="hr-HR"/>
        </w:rPr>
      </w:pPr>
    </w:p>
    <w:p w14:paraId="78D2393F" w14:textId="3F4B7A5D" w:rsidR="00FA5866" w:rsidRPr="000130D9" w:rsidRDefault="00281074"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w:t>
      </w:r>
      <w:r w:rsidR="004531BE" w:rsidRPr="000130D9">
        <w:rPr>
          <w:rFonts w:ascii="Times New Roman" w:hAnsi="Times New Roman" w:cs="Times New Roman"/>
          <w:sz w:val="24"/>
          <w:szCs w:val="24"/>
          <w:lang w:val="hr-HR" w:bidi="hr-HR"/>
        </w:rPr>
        <w:t xml:space="preserve"> okviru ovog Poziva </w:t>
      </w:r>
      <w:r w:rsidR="00FC3688">
        <w:rPr>
          <w:rFonts w:ascii="Times New Roman" w:hAnsi="Times New Roman" w:cs="Times New Roman"/>
          <w:sz w:val="24"/>
          <w:szCs w:val="24"/>
          <w:lang w:val="hr-HR" w:bidi="hr-HR"/>
        </w:rPr>
        <w:t xml:space="preserve">prijavitelji su </w:t>
      </w:r>
      <w:r w:rsidR="004531BE" w:rsidRPr="000130D9">
        <w:rPr>
          <w:rFonts w:ascii="Times New Roman" w:hAnsi="Times New Roman" w:cs="Times New Roman"/>
          <w:sz w:val="24"/>
          <w:szCs w:val="24"/>
          <w:lang w:val="hr-HR" w:bidi="hr-HR"/>
        </w:rPr>
        <w:t>mikro, mala</w:t>
      </w:r>
      <w:r w:rsidR="007E3144">
        <w:rPr>
          <w:rFonts w:ascii="Times New Roman" w:hAnsi="Times New Roman" w:cs="Times New Roman"/>
          <w:sz w:val="24"/>
          <w:szCs w:val="24"/>
          <w:lang w:val="hr-HR" w:bidi="hr-HR"/>
        </w:rPr>
        <w:t>,</w:t>
      </w:r>
      <w:r w:rsidR="004531BE" w:rsidRPr="000130D9">
        <w:rPr>
          <w:rFonts w:ascii="Times New Roman" w:hAnsi="Times New Roman" w:cs="Times New Roman"/>
          <w:sz w:val="24"/>
          <w:szCs w:val="24"/>
          <w:lang w:val="hr-HR" w:bidi="hr-HR"/>
        </w:rPr>
        <w:t xml:space="preserve"> s</w:t>
      </w:r>
      <w:r w:rsidR="00FC3688">
        <w:rPr>
          <w:rFonts w:ascii="Times New Roman" w:hAnsi="Times New Roman" w:cs="Times New Roman"/>
          <w:sz w:val="24"/>
          <w:szCs w:val="24"/>
          <w:lang w:val="hr-HR" w:bidi="hr-HR"/>
        </w:rPr>
        <w:t>rednja poduzeća (ili „MSP-ovi”)</w:t>
      </w:r>
      <w:r w:rsidR="007E3144">
        <w:rPr>
          <w:rFonts w:ascii="Times New Roman" w:hAnsi="Times New Roman" w:cs="Times New Roman"/>
          <w:sz w:val="24"/>
          <w:szCs w:val="24"/>
          <w:lang w:val="hr-HR" w:bidi="hr-HR"/>
        </w:rPr>
        <w:t xml:space="preserve"> </w:t>
      </w:r>
      <w:r w:rsidR="004531BE" w:rsidRPr="000130D9">
        <w:rPr>
          <w:rFonts w:ascii="Times New Roman" w:hAnsi="Times New Roman" w:cs="Times New Roman"/>
          <w:sz w:val="24"/>
          <w:szCs w:val="24"/>
          <w:lang w:val="hr-HR" w:bidi="hr-HR"/>
        </w:rPr>
        <w:t>koja ispunjavaju uvjete utvrđene u Prilogu I</w:t>
      </w:r>
      <w:r w:rsidR="00FC3688">
        <w:rPr>
          <w:rFonts w:ascii="Times New Roman" w:hAnsi="Times New Roman" w:cs="Times New Roman"/>
          <w:sz w:val="24"/>
          <w:szCs w:val="24"/>
          <w:lang w:val="hr-HR" w:bidi="hr-HR"/>
        </w:rPr>
        <w:t xml:space="preserve"> Uredbe 651/2014 te velika poduzeća </w:t>
      </w:r>
      <w:r w:rsidR="00FC3688" w:rsidRPr="00FC3688">
        <w:rPr>
          <w:rFonts w:ascii="Times New Roman" w:hAnsi="Times New Roman" w:cs="Times New Roman"/>
          <w:sz w:val="24"/>
          <w:szCs w:val="24"/>
          <w:lang w:val="hr-HR" w:bidi="hr-HR"/>
        </w:rPr>
        <w:t>koja ne ispunjavaju uvjete utvrđene u Prilogu I. Uredbe 651/2014</w:t>
      </w:r>
      <w:r w:rsidR="004531BE" w:rsidRPr="000130D9">
        <w:rPr>
          <w:rFonts w:ascii="Times New Roman" w:hAnsi="Times New Roman" w:cs="Times New Roman"/>
          <w:sz w:val="24"/>
          <w:szCs w:val="24"/>
          <w:lang w:val="hr-HR" w:bidi="hr-HR"/>
        </w:rPr>
        <w:t xml:space="preserve">. </w:t>
      </w:r>
      <w:r w:rsidR="00FA5866" w:rsidRPr="000130D9">
        <w:rPr>
          <w:rFonts w:ascii="Times New Roman" w:hAnsi="Times New Roman" w:cs="Times New Roman"/>
          <w:sz w:val="24"/>
          <w:szCs w:val="24"/>
          <w:lang w:val="hr-HR" w:bidi="hr-HR"/>
        </w:rPr>
        <w:t xml:space="preserve">Sukladnost uvjetima navedenim u </w:t>
      </w:r>
      <w:r w:rsidR="00FD2E21" w:rsidRPr="000130D9">
        <w:rPr>
          <w:rFonts w:ascii="Times New Roman" w:hAnsi="Times New Roman" w:cs="Times New Roman"/>
          <w:sz w:val="24"/>
          <w:szCs w:val="24"/>
          <w:lang w:val="hr-HR" w:bidi="hr-HR"/>
        </w:rPr>
        <w:t>P</w:t>
      </w:r>
      <w:r w:rsidR="00FA5866" w:rsidRPr="000130D9">
        <w:rPr>
          <w:rFonts w:ascii="Times New Roman" w:hAnsi="Times New Roman" w:cs="Times New Roman"/>
          <w:sz w:val="24"/>
          <w:szCs w:val="24"/>
          <w:lang w:val="hr-HR" w:bidi="hr-HR"/>
        </w:rPr>
        <w:t xml:space="preserve">rilogu I. poduzetnici dokazuju Skupnom izjavom (Obrazac </w:t>
      </w:r>
      <w:r w:rsidR="00FA5EF0" w:rsidRPr="000130D9">
        <w:rPr>
          <w:rFonts w:ascii="Times New Roman" w:hAnsi="Times New Roman" w:cs="Times New Roman"/>
          <w:sz w:val="24"/>
          <w:szCs w:val="24"/>
          <w:lang w:val="hr-HR" w:bidi="hr-HR"/>
        </w:rPr>
        <w:t>4</w:t>
      </w:r>
      <w:r w:rsidR="00FA5866" w:rsidRPr="000130D9">
        <w:rPr>
          <w:rFonts w:ascii="Times New Roman" w:hAnsi="Times New Roman" w:cs="Times New Roman"/>
          <w:sz w:val="24"/>
          <w:szCs w:val="24"/>
          <w:lang w:val="hr-HR" w:bidi="hr-HR"/>
        </w:rPr>
        <w:t>.)</w:t>
      </w:r>
      <w:r w:rsidR="00D65CA0">
        <w:rPr>
          <w:rFonts w:ascii="Times New Roman" w:hAnsi="Times New Roman" w:cs="Times New Roman"/>
          <w:sz w:val="24"/>
          <w:szCs w:val="24"/>
          <w:lang w:val="hr-HR" w:bidi="hr-HR"/>
        </w:rPr>
        <w:t xml:space="preserve">. </w:t>
      </w:r>
    </w:p>
    <w:p w14:paraId="33EB0C64" w14:textId="77777777" w:rsidR="00FF02DD" w:rsidRPr="000130D9" w:rsidRDefault="00FF02DD" w:rsidP="000130D9">
      <w:pPr>
        <w:pStyle w:val="ListParagraph"/>
        <w:spacing w:after="0"/>
        <w:ind w:left="0"/>
        <w:jc w:val="both"/>
        <w:rPr>
          <w:rFonts w:ascii="Times New Roman" w:hAnsi="Times New Roman" w:cs="Times New Roman"/>
          <w:sz w:val="24"/>
          <w:szCs w:val="24"/>
          <w:lang w:val="hr-HR" w:bidi="hr-HR"/>
        </w:rPr>
      </w:pPr>
    </w:p>
    <w:p w14:paraId="1D3C7C81" w14:textId="4E699CFF" w:rsidR="00FF02DD" w:rsidRPr="00F833F8" w:rsidRDefault="00FA5866" w:rsidP="00302A40">
      <w:pPr>
        <w:pStyle w:val="ListParagraph"/>
        <w:spacing w:after="0"/>
        <w:ind w:left="0"/>
        <w:jc w:val="both"/>
        <w:rPr>
          <w:rFonts w:ascii="Times New Roman" w:hAnsi="Times New Roman" w:cs="Times New Roman"/>
          <w:b/>
          <w:bCs/>
          <w:i/>
          <w:iCs/>
          <w:sz w:val="24"/>
          <w:szCs w:val="24"/>
          <w:lang w:val="hr-HR"/>
        </w:rPr>
      </w:pPr>
      <w:r w:rsidRPr="000130D9">
        <w:rPr>
          <w:rFonts w:ascii="Times New Roman" w:hAnsi="Times New Roman" w:cs="Times New Roman"/>
          <w:sz w:val="24"/>
          <w:szCs w:val="24"/>
          <w:lang w:val="hr-HR" w:bidi="hr-HR"/>
        </w:rPr>
        <w:t>Sredstva dodijeljena poduzetnicima temeljem ovog Poziv</w:t>
      </w:r>
      <w:r w:rsidR="00FF02DD" w:rsidRPr="000130D9">
        <w:rPr>
          <w:rFonts w:ascii="Times New Roman" w:hAnsi="Times New Roman" w:cs="Times New Roman"/>
          <w:sz w:val="24"/>
          <w:szCs w:val="24"/>
          <w:lang w:val="hr-HR" w:bidi="hr-HR"/>
        </w:rPr>
        <w:t xml:space="preserve">a predstavljaju državnu potporu, a dodjeljuju se za </w:t>
      </w:r>
      <w:r w:rsidR="007E3144" w:rsidRPr="00F833F8">
        <w:rPr>
          <w:rFonts w:ascii="Times New Roman" w:hAnsi="Times New Roman" w:cs="Times New Roman"/>
          <w:b/>
          <w:bCs/>
          <w:i/>
          <w:iCs/>
          <w:sz w:val="24"/>
          <w:szCs w:val="24"/>
          <w:lang w:val="hr-HR"/>
        </w:rPr>
        <w:t>potpore za usavršavanje</w:t>
      </w:r>
      <w:r w:rsidR="00FF02DD" w:rsidRPr="00F833F8">
        <w:rPr>
          <w:rFonts w:ascii="Times New Roman" w:hAnsi="Times New Roman" w:cs="Times New Roman"/>
          <w:b/>
          <w:bCs/>
          <w:i/>
          <w:iCs/>
          <w:sz w:val="24"/>
          <w:szCs w:val="24"/>
          <w:lang w:val="hr-HR"/>
        </w:rPr>
        <w:t xml:space="preserve"> (</w:t>
      </w:r>
      <w:r w:rsidR="00202CC2" w:rsidRPr="00F833F8">
        <w:rPr>
          <w:rFonts w:ascii="Times New Roman" w:hAnsi="Times New Roman" w:cs="Times New Roman"/>
          <w:b/>
          <w:bCs/>
          <w:i/>
          <w:iCs/>
          <w:sz w:val="24"/>
          <w:szCs w:val="24"/>
          <w:lang w:val="hr-HR"/>
        </w:rPr>
        <w:t xml:space="preserve">Članak </w:t>
      </w:r>
      <w:r w:rsidR="007E3144" w:rsidRPr="00F833F8">
        <w:rPr>
          <w:rFonts w:ascii="Times New Roman" w:hAnsi="Times New Roman" w:cs="Times New Roman"/>
          <w:b/>
          <w:bCs/>
          <w:i/>
          <w:iCs/>
          <w:sz w:val="24"/>
          <w:szCs w:val="24"/>
          <w:lang w:val="hr-HR"/>
        </w:rPr>
        <w:t>31</w:t>
      </w:r>
      <w:r w:rsidR="00202CC2" w:rsidRPr="00F833F8">
        <w:rPr>
          <w:rFonts w:ascii="Times New Roman" w:hAnsi="Times New Roman" w:cs="Times New Roman"/>
          <w:b/>
          <w:bCs/>
          <w:i/>
          <w:iCs/>
          <w:sz w:val="24"/>
          <w:szCs w:val="24"/>
          <w:lang w:val="hr-HR"/>
        </w:rPr>
        <w:t>.</w:t>
      </w:r>
      <w:r w:rsidR="00FF02DD" w:rsidRPr="00F833F8">
        <w:rPr>
          <w:rFonts w:ascii="Times New Roman" w:hAnsi="Times New Roman" w:cs="Times New Roman"/>
          <w:b/>
          <w:bCs/>
          <w:i/>
          <w:iCs/>
          <w:sz w:val="24"/>
          <w:szCs w:val="24"/>
          <w:lang w:val="hr-HR"/>
        </w:rPr>
        <w:t>).</w:t>
      </w:r>
    </w:p>
    <w:p w14:paraId="348118E9" w14:textId="77777777" w:rsidR="00600907" w:rsidRPr="000130D9" w:rsidRDefault="00600907" w:rsidP="000130D9">
      <w:pPr>
        <w:pStyle w:val="ListParagraph"/>
        <w:spacing w:after="0"/>
        <w:ind w:left="0"/>
        <w:jc w:val="both"/>
        <w:rPr>
          <w:rFonts w:ascii="Times New Roman" w:hAnsi="Times New Roman" w:cs="Times New Roman"/>
          <w:bCs/>
          <w:iCs/>
          <w:sz w:val="24"/>
          <w:szCs w:val="24"/>
          <w:lang w:val="hr-HR"/>
        </w:rPr>
      </w:pPr>
    </w:p>
    <w:p w14:paraId="7F909CE5" w14:textId="77777777" w:rsidR="00B53249" w:rsidRDefault="00B53249" w:rsidP="000130D9">
      <w:pPr>
        <w:pStyle w:val="ListParagraph"/>
        <w:spacing w:after="0"/>
        <w:ind w:left="0"/>
        <w:jc w:val="both"/>
        <w:rPr>
          <w:rFonts w:ascii="Times New Roman" w:hAnsi="Times New Roman" w:cs="Times New Roman"/>
          <w:bCs/>
          <w:iCs/>
          <w:sz w:val="24"/>
          <w:szCs w:val="24"/>
          <w:lang w:val="hr-HR"/>
        </w:rPr>
      </w:pPr>
    </w:p>
    <w:p w14:paraId="57A57763" w14:textId="3F9D336E" w:rsidR="00FF02DD" w:rsidRDefault="009E38CC" w:rsidP="000130D9">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Postotak</w:t>
      </w:r>
      <w:r w:rsidR="00600907" w:rsidRPr="000130D9">
        <w:rPr>
          <w:rFonts w:ascii="Times New Roman" w:hAnsi="Times New Roman" w:cs="Times New Roman"/>
          <w:bCs/>
          <w:iCs/>
          <w:sz w:val="24"/>
          <w:szCs w:val="24"/>
          <w:lang w:val="hr-HR"/>
        </w:rPr>
        <w:t xml:space="preserve"> (intenzitet)</w:t>
      </w:r>
      <w:r w:rsidRPr="000130D9">
        <w:rPr>
          <w:rFonts w:ascii="Times New Roman" w:hAnsi="Times New Roman" w:cs="Times New Roman"/>
          <w:bCs/>
          <w:iCs/>
          <w:sz w:val="24"/>
          <w:szCs w:val="24"/>
          <w:lang w:val="hr-HR"/>
        </w:rPr>
        <w:t xml:space="preserve"> financiranja iz bespovratnih sredstava na koj</w:t>
      </w:r>
      <w:r w:rsidR="00600907" w:rsidRPr="000130D9">
        <w:rPr>
          <w:rFonts w:ascii="Times New Roman" w:hAnsi="Times New Roman" w:cs="Times New Roman"/>
          <w:bCs/>
          <w:iCs/>
          <w:sz w:val="24"/>
          <w:szCs w:val="24"/>
          <w:lang w:val="hr-HR"/>
        </w:rPr>
        <w:t>i</w:t>
      </w:r>
      <w:r w:rsidRPr="000130D9">
        <w:rPr>
          <w:rFonts w:ascii="Times New Roman" w:hAnsi="Times New Roman" w:cs="Times New Roman"/>
          <w:bCs/>
          <w:iCs/>
          <w:sz w:val="24"/>
          <w:szCs w:val="24"/>
          <w:lang w:val="hr-HR"/>
        </w:rPr>
        <w:t xml:space="preserve"> poduzetnik ima pravo ovisi o njegovoj veličini (</w:t>
      </w:r>
      <w:r w:rsidR="00F23D1D" w:rsidRPr="00F23D1D">
        <w:rPr>
          <w:rFonts w:ascii="Times New Roman" w:hAnsi="Times New Roman" w:cs="Times New Roman"/>
          <w:bCs/>
          <w:iCs/>
          <w:sz w:val="24"/>
          <w:szCs w:val="24"/>
          <w:lang w:val="hr-HR"/>
        </w:rPr>
        <w:t>u skladu s definicijom iz Priloga I Uredbe 651/2014</w:t>
      </w:r>
      <w:r w:rsidRPr="000130D9">
        <w:rPr>
          <w:rFonts w:ascii="Times New Roman" w:hAnsi="Times New Roman" w:cs="Times New Roman"/>
          <w:bCs/>
          <w:iCs/>
          <w:sz w:val="24"/>
          <w:szCs w:val="24"/>
          <w:lang w:val="hr-HR"/>
        </w:rPr>
        <w:t>)</w:t>
      </w:r>
      <w:r w:rsidR="00510730">
        <w:rPr>
          <w:rFonts w:ascii="Times New Roman" w:hAnsi="Times New Roman" w:cs="Times New Roman"/>
          <w:bCs/>
          <w:iCs/>
          <w:sz w:val="24"/>
          <w:szCs w:val="24"/>
          <w:lang w:val="hr-HR"/>
        </w:rPr>
        <w:t xml:space="preserve"> te o tome </w:t>
      </w:r>
      <w:r w:rsidR="00A0276E" w:rsidRPr="00562CE4">
        <w:rPr>
          <w:rFonts w:ascii="Times New Roman" w:hAnsi="Times New Roman" w:cs="Times New Roman"/>
          <w:sz w:val="24"/>
          <w:szCs w:val="24"/>
        </w:rPr>
        <w:t xml:space="preserve">provodi </w:t>
      </w:r>
      <w:r w:rsidR="00A0276E">
        <w:rPr>
          <w:rFonts w:ascii="Times New Roman" w:hAnsi="Times New Roman" w:cs="Times New Roman"/>
          <w:sz w:val="24"/>
          <w:szCs w:val="24"/>
        </w:rPr>
        <w:t xml:space="preserve">li se </w:t>
      </w:r>
      <w:r w:rsidR="00510730" w:rsidRPr="00562CE4">
        <w:rPr>
          <w:rFonts w:ascii="Times New Roman" w:hAnsi="Times New Roman" w:cs="Times New Roman"/>
          <w:sz w:val="24"/>
          <w:szCs w:val="24"/>
        </w:rPr>
        <w:t>usavršavanje za radnike s invaliditetom ili radnike u nepovoljnom položaju</w:t>
      </w:r>
      <w:r w:rsidR="00F23D1D">
        <w:rPr>
          <w:rFonts w:ascii="Times New Roman" w:hAnsi="Times New Roman" w:cs="Times New Roman"/>
          <w:sz w:val="24"/>
          <w:szCs w:val="24"/>
        </w:rPr>
        <w:t xml:space="preserve"> (</w:t>
      </w:r>
      <w:r w:rsidR="00F23D1D" w:rsidRPr="00F23D1D">
        <w:rPr>
          <w:rFonts w:ascii="Times New Roman" w:hAnsi="Times New Roman" w:cs="Times New Roman"/>
          <w:sz w:val="24"/>
          <w:szCs w:val="24"/>
          <w:lang w:val="hr-HR"/>
        </w:rPr>
        <w:t xml:space="preserve">u skladu s definicijama iz točaka 3. i/ili 4. </w:t>
      </w:r>
      <w:r w:rsidR="00F23D1D">
        <w:rPr>
          <w:rFonts w:ascii="Times New Roman" w:hAnsi="Times New Roman" w:cs="Times New Roman"/>
          <w:sz w:val="24"/>
          <w:szCs w:val="24"/>
          <w:lang w:val="hr-HR"/>
        </w:rPr>
        <w:t>članka 2.</w:t>
      </w:r>
      <w:r w:rsidR="00F23D1D" w:rsidRPr="00F23D1D">
        <w:rPr>
          <w:rFonts w:ascii="Times New Roman" w:hAnsi="Times New Roman" w:cs="Times New Roman"/>
          <w:sz w:val="24"/>
          <w:szCs w:val="24"/>
          <w:lang w:val="hr-HR"/>
        </w:rPr>
        <w:t xml:space="preserve"> Uredbe 651/2014</w:t>
      </w:r>
      <w:r w:rsidR="00F23D1D">
        <w:rPr>
          <w:rFonts w:ascii="Times New Roman" w:hAnsi="Times New Roman" w:cs="Times New Roman"/>
          <w:sz w:val="24"/>
          <w:szCs w:val="24"/>
          <w:lang w:val="hr-HR"/>
        </w:rPr>
        <w:t>)</w:t>
      </w:r>
      <w:r w:rsidR="00A0276E">
        <w:rPr>
          <w:rFonts w:ascii="Times New Roman" w:hAnsi="Times New Roman" w:cs="Times New Roman"/>
          <w:sz w:val="24"/>
          <w:szCs w:val="24"/>
        </w:rPr>
        <w:t>, a</w:t>
      </w:r>
      <w:r w:rsidRPr="000130D9">
        <w:rPr>
          <w:rFonts w:ascii="Times New Roman" w:hAnsi="Times New Roman" w:cs="Times New Roman"/>
          <w:bCs/>
          <w:iCs/>
          <w:sz w:val="24"/>
          <w:szCs w:val="24"/>
          <w:lang w:val="hr-HR"/>
        </w:rPr>
        <w:t xml:space="preserve"> kao što je prikazano u tablici u nastavku:</w:t>
      </w:r>
    </w:p>
    <w:p w14:paraId="5AF0F657" w14:textId="77777777" w:rsidR="00510730" w:rsidRDefault="00510730" w:rsidP="000130D9">
      <w:pPr>
        <w:pStyle w:val="ListParagraph"/>
        <w:spacing w:after="0"/>
        <w:ind w:left="0"/>
        <w:jc w:val="both"/>
        <w:rPr>
          <w:rFonts w:ascii="Times New Roman" w:hAnsi="Times New Roman" w:cs="Times New Roman"/>
          <w:bCs/>
          <w:iCs/>
          <w:sz w:val="24"/>
          <w:szCs w:val="24"/>
          <w:lang w:val="hr-HR"/>
        </w:rPr>
      </w:pPr>
    </w:p>
    <w:p w14:paraId="01E1FB84" w14:textId="77777777" w:rsidR="009E38CC" w:rsidRPr="000130D9" w:rsidRDefault="009E38CC" w:rsidP="000130D9">
      <w:pPr>
        <w:spacing w:after="0"/>
        <w:jc w:val="both"/>
        <w:rPr>
          <w:rFonts w:ascii="Times New Roman" w:eastAsia="Times New Roman" w:hAnsi="Times New Roman" w:cs="Times New Roman"/>
          <w:bCs/>
          <w:i/>
          <w:sz w:val="24"/>
          <w:szCs w:val="24"/>
          <w:lang w:val="hr-HR"/>
        </w:rPr>
      </w:pPr>
    </w:p>
    <w:tbl>
      <w:tblPr>
        <w:tblStyle w:val="ListTable3-Accent51"/>
        <w:tblW w:w="9067" w:type="dxa"/>
        <w:tblInd w:w="-5" w:type="dxa"/>
        <w:tblLayout w:type="fixed"/>
        <w:tblLook w:val="0000" w:firstRow="0" w:lastRow="0" w:firstColumn="0" w:lastColumn="0" w:noHBand="0" w:noVBand="0"/>
      </w:tblPr>
      <w:tblGrid>
        <w:gridCol w:w="2692"/>
        <w:gridCol w:w="2125"/>
        <w:gridCol w:w="2125"/>
        <w:gridCol w:w="2125"/>
      </w:tblGrid>
      <w:tr w:rsidR="005D7EC0" w:rsidRPr="00494717" w14:paraId="397AE25C" w14:textId="2C25E57F" w:rsidTr="00C316F5">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557AB5AB" w14:textId="77777777" w:rsidR="005D7EC0" w:rsidRPr="000130D9" w:rsidRDefault="005D7EC0" w:rsidP="000130D9">
            <w:pPr>
              <w:spacing w:line="276" w:lineRule="auto"/>
              <w:jc w:val="both"/>
              <w:rPr>
                <w:rFonts w:ascii="Times New Roman" w:eastAsia="Times New Roman" w:hAnsi="Times New Roman" w:cs="Times New Roman"/>
                <w:bCs/>
                <w:i/>
                <w:sz w:val="24"/>
                <w:szCs w:val="24"/>
              </w:rPr>
            </w:pPr>
          </w:p>
        </w:tc>
        <w:tc>
          <w:tcPr>
            <w:tcW w:w="2125" w:type="dxa"/>
            <w:shd w:val="clear" w:color="auto" w:fill="DBE5F1" w:themeFill="accent1" w:themeFillTint="33"/>
          </w:tcPr>
          <w:p w14:paraId="5F983C3C" w14:textId="77777777" w:rsidR="005D7EC0" w:rsidRPr="000130D9" w:rsidRDefault="005D7EC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 xml:space="preserve">Malo </w:t>
            </w:r>
          </w:p>
          <w:p w14:paraId="6E4BB5D7" w14:textId="77777777" w:rsidR="005D7EC0" w:rsidRPr="000130D9" w:rsidRDefault="005D7EC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poduzeće</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BE5F1" w:themeFill="accent1" w:themeFillTint="33"/>
          </w:tcPr>
          <w:p w14:paraId="698BF675" w14:textId="77777777" w:rsidR="005D7EC0" w:rsidRPr="000130D9" w:rsidRDefault="005D7EC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Srednje poduzeće</w:t>
            </w:r>
          </w:p>
        </w:tc>
        <w:tc>
          <w:tcPr>
            <w:tcW w:w="2125" w:type="dxa"/>
            <w:shd w:val="clear" w:color="auto" w:fill="DBE5F1" w:themeFill="accent1" w:themeFillTint="33"/>
          </w:tcPr>
          <w:p w14:paraId="44E208DC" w14:textId="5A95D614" w:rsidR="005D7EC0" w:rsidRPr="000130D9" w:rsidRDefault="005D7EC0" w:rsidP="000130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Veliko poduzeće</w:t>
            </w:r>
          </w:p>
        </w:tc>
      </w:tr>
      <w:tr w:rsidR="005D7EC0" w:rsidRPr="00494717" w14:paraId="599C16F6" w14:textId="2E7AC3F4" w:rsidTr="00C316F5">
        <w:trPr>
          <w:trHeight w:val="753"/>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3A4AC6ED" w14:textId="0CCAC99F" w:rsidR="005D7EC0" w:rsidRPr="000130D9" w:rsidRDefault="00566DD9" w:rsidP="00B53249">
            <w:pPr>
              <w:spacing w:line="276"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Potpore za usavršavanje</w:t>
            </w:r>
          </w:p>
        </w:tc>
        <w:tc>
          <w:tcPr>
            <w:tcW w:w="2125" w:type="dxa"/>
            <w:shd w:val="clear" w:color="auto" w:fill="auto"/>
          </w:tcPr>
          <w:p w14:paraId="61BE5454" w14:textId="77777777" w:rsidR="005D7EC0" w:rsidRPr="000130D9" w:rsidRDefault="005D7EC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5DB5F960" w14:textId="77777777" w:rsidR="005D7EC0" w:rsidRPr="000130D9" w:rsidRDefault="005D7EC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70%</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292CB011" w14:textId="77777777" w:rsidR="005D7EC0" w:rsidRPr="000130D9" w:rsidRDefault="005D7EC0" w:rsidP="000130D9">
            <w:pPr>
              <w:spacing w:line="276" w:lineRule="auto"/>
              <w:jc w:val="center"/>
              <w:rPr>
                <w:rFonts w:ascii="Times New Roman" w:eastAsia="Times New Roman" w:hAnsi="Times New Roman" w:cs="Times New Roman"/>
                <w:bCs/>
                <w:i/>
                <w:sz w:val="24"/>
                <w:szCs w:val="24"/>
              </w:rPr>
            </w:pPr>
          </w:p>
          <w:p w14:paraId="326B4E00" w14:textId="77777777" w:rsidR="005D7EC0" w:rsidRPr="000130D9" w:rsidRDefault="005D7EC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60%</w:t>
            </w:r>
          </w:p>
        </w:tc>
        <w:tc>
          <w:tcPr>
            <w:tcW w:w="2125" w:type="dxa"/>
          </w:tcPr>
          <w:p w14:paraId="6F5CDDA6" w14:textId="77777777" w:rsidR="005D7EC0" w:rsidRDefault="005D7EC0" w:rsidP="00C316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36BC2DED" w14:textId="4142ADCF" w:rsidR="005D7EC0" w:rsidRPr="000130D9" w:rsidRDefault="005D7EC0" w:rsidP="00C316F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50%</w:t>
            </w:r>
          </w:p>
        </w:tc>
      </w:tr>
      <w:tr w:rsidR="00F23D1D" w:rsidRPr="00494717" w14:paraId="704E2FF2" w14:textId="77777777" w:rsidTr="005D7EC0">
        <w:trPr>
          <w:cnfStyle w:val="000000100000" w:firstRow="0" w:lastRow="0" w:firstColumn="0" w:lastColumn="0" w:oddVBand="0" w:evenVBand="0" w:oddHBand="1" w:evenHBand="0" w:firstRowFirstColumn="0" w:firstRowLastColumn="0" w:lastRowFirstColumn="0" w:lastRowLastColumn="0"/>
          <w:trHeight w:val="753"/>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27830641" w14:textId="0429E68B" w:rsidR="00F23D1D" w:rsidRPr="00ED19EA" w:rsidDel="00566DD9" w:rsidRDefault="00F23D1D" w:rsidP="00B53249">
            <w:pPr>
              <w:rPr>
                <w:rFonts w:ascii="Times New Roman" w:eastAsia="Times New Roman" w:hAnsi="Times New Roman" w:cs="Times New Roman"/>
                <w:bCs/>
                <w:i/>
                <w:sz w:val="24"/>
                <w:szCs w:val="24"/>
              </w:rPr>
            </w:pPr>
            <w:r w:rsidRPr="00ED19EA">
              <w:rPr>
                <w:rFonts w:ascii="Times New Roman" w:hAnsi="Times New Roman" w:cs="Times New Roman"/>
                <w:i/>
                <w:sz w:val="24"/>
                <w:szCs w:val="24"/>
              </w:rPr>
              <w:t>Usavršavanje za radnike s invaliditetom ili radnike u nepovoljnom položaju</w:t>
            </w:r>
          </w:p>
        </w:tc>
        <w:tc>
          <w:tcPr>
            <w:tcW w:w="2125" w:type="dxa"/>
            <w:shd w:val="clear" w:color="auto" w:fill="auto"/>
          </w:tcPr>
          <w:p w14:paraId="0867FE51" w14:textId="77777777" w:rsidR="00ED19EA" w:rsidRDefault="00ED19EA" w:rsidP="00C316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p>
          <w:p w14:paraId="6893A0BD" w14:textId="3F121823" w:rsidR="00F23D1D" w:rsidRPr="000130D9" w:rsidRDefault="00F23D1D" w:rsidP="00C316F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70%</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18942812" w14:textId="77777777" w:rsidR="00ED19EA" w:rsidRDefault="00ED19EA" w:rsidP="000130D9">
            <w:pPr>
              <w:jc w:val="center"/>
              <w:rPr>
                <w:rFonts w:ascii="Times New Roman" w:eastAsia="Times New Roman" w:hAnsi="Times New Roman" w:cs="Times New Roman"/>
                <w:bCs/>
                <w:i/>
                <w:sz w:val="24"/>
                <w:szCs w:val="24"/>
              </w:rPr>
            </w:pPr>
          </w:p>
          <w:p w14:paraId="028A5B30" w14:textId="3434CB16" w:rsidR="00F23D1D" w:rsidRPr="000130D9" w:rsidRDefault="00F23D1D" w:rsidP="000130D9">
            <w:pPr>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70%</w:t>
            </w:r>
          </w:p>
        </w:tc>
        <w:tc>
          <w:tcPr>
            <w:tcW w:w="2125" w:type="dxa"/>
          </w:tcPr>
          <w:p w14:paraId="06D1E853" w14:textId="77777777" w:rsidR="00ED19EA" w:rsidRDefault="00ED19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p>
          <w:p w14:paraId="10D902D4" w14:textId="685FD2B2" w:rsidR="00F23D1D" w:rsidRDefault="00F23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60%</w:t>
            </w:r>
          </w:p>
        </w:tc>
      </w:tr>
    </w:tbl>
    <w:p w14:paraId="3C995E1C" w14:textId="77777777" w:rsidR="009E38CC" w:rsidRPr="000130D9" w:rsidRDefault="009E38CC" w:rsidP="000130D9">
      <w:pPr>
        <w:spacing w:after="0"/>
        <w:jc w:val="both"/>
        <w:rPr>
          <w:rFonts w:ascii="Times New Roman" w:eastAsia="Times New Roman" w:hAnsi="Times New Roman" w:cs="Times New Roman"/>
          <w:bCs/>
          <w:sz w:val="24"/>
          <w:szCs w:val="24"/>
          <w:lang w:val="hr-HR"/>
        </w:rPr>
      </w:pPr>
    </w:p>
    <w:p w14:paraId="62BC30F6" w14:textId="77777777" w:rsidR="00FF02DD" w:rsidRPr="000130D9" w:rsidRDefault="00FF02DD" w:rsidP="000130D9">
      <w:pPr>
        <w:pStyle w:val="ListParagraph"/>
        <w:spacing w:after="0"/>
        <w:ind w:left="0"/>
        <w:jc w:val="both"/>
        <w:rPr>
          <w:rFonts w:ascii="Times New Roman" w:hAnsi="Times New Roman" w:cs="Times New Roman"/>
          <w:u w:val="single"/>
          <w:lang w:val="hr-HR" w:bidi="hr-HR"/>
        </w:rPr>
      </w:pPr>
    </w:p>
    <w:p w14:paraId="68AF3092" w14:textId="1DA85ED3" w:rsidR="0080310D" w:rsidRPr="000130D9" w:rsidRDefault="000553C8"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lastRenderedPageBreak/>
        <w:t>Prihvatljivi troškovi definirani su u Uputama za prijavitelje (točka 2</w:t>
      </w:r>
      <w:r w:rsidR="0080310D" w:rsidRPr="000130D9">
        <w:rPr>
          <w:rFonts w:ascii="Times New Roman" w:hAnsi="Times New Roman" w:cs="Times New Roman"/>
          <w:sz w:val="24"/>
          <w:szCs w:val="24"/>
          <w:lang w:val="hr-HR" w:bidi="hr-HR"/>
        </w:rPr>
        <w:t>.10</w:t>
      </w:r>
      <w:r w:rsidR="00E14DDE">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 xml:space="preserve">Prihvatljive kategorije troškova </w:t>
      </w:r>
      <w:r w:rsidR="005D7EC0">
        <w:rPr>
          <w:rFonts w:ascii="Times New Roman" w:hAnsi="Times New Roman" w:cs="Times New Roman"/>
          <w:sz w:val="24"/>
          <w:szCs w:val="24"/>
          <w:lang w:val="hr-HR" w:bidi="hr-HR"/>
        </w:rPr>
        <w:t>prijavitelja</w:t>
      </w:r>
      <w:r w:rsidR="00D65CA0">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p>
    <w:p w14:paraId="23E73DC3" w14:textId="77777777" w:rsidR="0062645B" w:rsidRPr="000130D9" w:rsidRDefault="0062645B">
      <w:pPr>
        <w:pStyle w:val="ListParagraph"/>
        <w:ind w:left="0"/>
        <w:jc w:val="both"/>
        <w:rPr>
          <w:rFonts w:ascii="Times New Roman" w:hAnsi="Times New Roman" w:cs="Times New Roman"/>
          <w:u w:val="single"/>
          <w:lang w:val="hr-HR" w:bidi="hr-HR"/>
        </w:rPr>
      </w:pPr>
    </w:p>
    <w:p w14:paraId="79392AD1" w14:textId="77777777" w:rsidR="0062645B" w:rsidRPr="000130D9" w:rsidRDefault="0062645B" w:rsidP="000130D9">
      <w:pPr>
        <w:pStyle w:val="Heading2"/>
        <w:numPr>
          <w:ilvl w:val="0"/>
          <w:numId w:val="0"/>
        </w:numPr>
        <w:ind w:left="576" w:hanging="576"/>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Učinak poticaja</w:t>
      </w:r>
    </w:p>
    <w:p w14:paraId="212C90FC" w14:textId="5F4A7FB2"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Državna potpora za </w:t>
      </w:r>
      <w:r w:rsidR="00E14DDE">
        <w:rPr>
          <w:rFonts w:ascii="Times New Roman" w:hAnsi="Times New Roman" w:cs="Times New Roman"/>
          <w:sz w:val="24"/>
          <w:szCs w:val="24"/>
          <w:lang w:val="hr-HR" w:bidi="hr-HR"/>
        </w:rPr>
        <w:t>usavršavanje</w:t>
      </w:r>
      <w:r w:rsidRPr="000130D9">
        <w:rPr>
          <w:rFonts w:ascii="Times New Roman" w:hAnsi="Times New Roman" w:cs="Times New Roman"/>
          <w:sz w:val="24"/>
          <w:szCs w:val="24"/>
          <w:lang w:val="hr-HR" w:bidi="hr-HR"/>
        </w:rPr>
        <w:t xml:space="preserve"> može biti dodijeljena samo ukoliko ima učinak poticaja, što znači da ne smije biti dodijeljena za aktivnosti koje bi poduzetnik provodio i da nema potpore. </w:t>
      </w:r>
    </w:p>
    <w:p w14:paraId="5E6BFF60" w14:textId="77777777" w:rsidR="00604B9F" w:rsidRDefault="00604B9F" w:rsidP="000130D9">
      <w:pPr>
        <w:pStyle w:val="ListParagraph"/>
        <w:spacing w:after="0"/>
        <w:ind w:left="0"/>
        <w:jc w:val="both"/>
        <w:rPr>
          <w:rFonts w:ascii="Times New Roman" w:hAnsi="Times New Roman" w:cs="Times New Roman"/>
          <w:sz w:val="24"/>
          <w:szCs w:val="24"/>
          <w:lang w:val="hr-HR" w:bidi="hr-HR"/>
        </w:rPr>
      </w:pPr>
    </w:p>
    <w:p w14:paraId="45C2CD2B" w14:textId="44B8D175"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skladu s člankom </w:t>
      </w:r>
      <w:r w:rsidR="007E3144" w:rsidRPr="000130D9">
        <w:rPr>
          <w:rFonts w:ascii="Times New Roman" w:hAnsi="Times New Roman" w:cs="Times New Roman"/>
          <w:sz w:val="24"/>
          <w:szCs w:val="24"/>
          <w:lang w:val="hr-HR" w:bidi="hr-HR"/>
        </w:rPr>
        <w:t>1</w:t>
      </w:r>
      <w:r w:rsidR="00E14DDE">
        <w:rPr>
          <w:rFonts w:ascii="Times New Roman" w:hAnsi="Times New Roman" w:cs="Times New Roman"/>
          <w:sz w:val="24"/>
          <w:szCs w:val="24"/>
          <w:lang w:val="hr-HR" w:bidi="hr-HR"/>
        </w:rPr>
        <w:t>0</w:t>
      </w:r>
      <w:r w:rsidR="00202CC2" w:rsidRPr="000130D9">
        <w:rPr>
          <w:rFonts w:ascii="Times New Roman" w:hAnsi="Times New Roman" w:cs="Times New Roman"/>
          <w:sz w:val="24"/>
          <w:szCs w:val="24"/>
          <w:lang w:val="hr-HR" w:bidi="hr-HR"/>
        </w:rPr>
        <w:t xml:space="preserve">. </w:t>
      </w:r>
      <w:r w:rsidR="00202CC2" w:rsidRPr="000130D9">
        <w:rPr>
          <w:rFonts w:ascii="Times New Roman" w:hAnsi="Times New Roman" w:cs="Times New Roman"/>
          <w:bCs/>
          <w:iCs/>
          <w:sz w:val="24"/>
          <w:szCs w:val="24"/>
          <w:lang w:val="hr-HR"/>
        </w:rPr>
        <w:t>Programa dodjele</w:t>
      </w:r>
      <w:r w:rsidR="0080310D" w:rsidRPr="000130D9">
        <w:rPr>
          <w:rFonts w:ascii="Times New Roman" w:hAnsi="Times New Roman" w:cs="Times New Roman"/>
          <w:bCs/>
          <w:iCs/>
          <w:sz w:val="24"/>
          <w:szCs w:val="24"/>
          <w:lang w:val="hr-HR"/>
        </w:rPr>
        <w:t xml:space="preserve"> državnih potpora za projekte </w:t>
      </w:r>
      <w:r w:rsidR="00E14DDE">
        <w:rPr>
          <w:rFonts w:ascii="Times New Roman" w:hAnsi="Times New Roman" w:cs="Times New Roman"/>
          <w:bCs/>
          <w:iCs/>
          <w:sz w:val="24"/>
          <w:szCs w:val="24"/>
          <w:lang w:val="hr-HR"/>
        </w:rPr>
        <w:t>stažiranja u gospodarstvu</w:t>
      </w:r>
      <w:r w:rsidRPr="000130D9">
        <w:rPr>
          <w:rFonts w:ascii="Times New Roman" w:hAnsi="Times New Roman" w:cs="Times New Roman"/>
          <w:sz w:val="24"/>
          <w:szCs w:val="24"/>
          <w:lang w:val="hr-HR" w:bidi="hr-HR"/>
        </w:rPr>
        <w:t xml:space="preserve"> poduzetnik mora podnijeti pisani zahtjev za potporu prije početka rada na projektu, u ovom slučaju zahtjev je dio obvezne dokumentacije projektnog prijedloga. Zahtjev za potporu ispunjava se na </w:t>
      </w:r>
      <w:r w:rsidR="00F7297A" w:rsidRPr="000130D9">
        <w:rPr>
          <w:rFonts w:ascii="Times New Roman" w:hAnsi="Times New Roman" w:cs="Times New Roman"/>
          <w:sz w:val="24"/>
          <w:szCs w:val="24"/>
          <w:lang w:val="hr-HR" w:bidi="hr-HR"/>
        </w:rPr>
        <w:t xml:space="preserve">Obrascu </w:t>
      </w:r>
      <w:r w:rsidR="00DA340D">
        <w:rPr>
          <w:rFonts w:ascii="Times New Roman" w:hAnsi="Times New Roman" w:cs="Times New Roman"/>
          <w:sz w:val="24"/>
          <w:szCs w:val="24"/>
          <w:lang w:val="hr-HR" w:bidi="hr-HR"/>
        </w:rPr>
        <w:t>7</w:t>
      </w:r>
      <w:r w:rsidR="00F7297A" w:rsidRPr="000130D9">
        <w:rPr>
          <w:rFonts w:ascii="Times New Roman" w:hAnsi="Times New Roman" w:cs="Times New Roman"/>
          <w:sz w:val="24"/>
          <w:szCs w:val="24"/>
          <w:lang w:val="hr-HR" w:bidi="hr-HR"/>
        </w:rPr>
        <w:t>.</w:t>
      </w:r>
    </w:p>
    <w:p w14:paraId="56BA299E" w14:textId="77777777" w:rsidR="00B66265" w:rsidRPr="000130D9" w:rsidRDefault="00B66265">
      <w:pPr>
        <w:pStyle w:val="ListParagraph"/>
        <w:ind w:left="0"/>
        <w:jc w:val="both"/>
        <w:rPr>
          <w:rFonts w:ascii="Times New Roman" w:hAnsi="Times New Roman" w:cs="Times New Roman"/>
          <w:u w:val="single"/>
          <w:lang w:val="hr-HR" w:bidi="hr-HR"/>
        </w:rPr>
      </w:pPr>
    </w:p>
    <w:p w14:paraId="3EDB7F58" w14:textId="77777777" w:rsidR="007B6FA6" w:rsidRPr="000130D9" w:rsidRDefault="007B6FA6" w:rsidP="000130D9">
      <w:pPr>
        <w:pStyle w:val="Heading2"/>
        <w:numPr>
          <w:ilvl w:val="0"/>
          <w:numId w:val="0"/>
        </w:numPr>
        <w:spacing w:after="120"/>
        <w:ind w:left="578" w:hanging="578"/>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Kontrole</w:t>
      </w:r>
    </w:p>
    <w:p w14:paraId="05B130DC" w14:textId="77777777" w:rsidR="007B6FA6" w:rsidRPr="000130D9" w:rsidRDefault="007B6FA6"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U skladu s </w:t>
      </w:r>
      <w:r w:rsidRPr="00FC3688">
        <w:rPr>
          <w:rFonts w:ascii="Times New Roman" w:hAnsi="Times New Roman" w:cs="Times New Roman"/>
          <w:bCs/>
          <w:sz w:val="24"/>
          <w:szCs w:val="24"/>
          <w:lang w:val="hr-HR"/>
        </w:rPr>
        <w:t xml:space="preserve">odredbama Zakona o državnim potporama </w:t>
      </w:r>
      <w:r w:rsidR="008B6430" w:rsidRPr="00FC3688">
        <w:rPr>
          <w:rFonts w:ascii="Times New Roman" w:hAnsi="Times New Roman" w:cs="Times New Roman"/>
          <w:bCs/>
          <w:sz w:val="24"/>
          <w:szCs w:val="24"/>
          <w:lang w:val="hr-HR"/>
        </w:rPr>
        <w:t>(</w:t>
      </w:r>
      <w:r w:rsidRPr="00FC3688">
        <w:rPr>
          <w:rFonts w:ascii="Times New Roman" w:hAnsi="Times New Roman" w:cs="Times New Roman"/>
          <w:color w:val="000000"/>
          <w:sz w:val="24"/>
          <w:szCs w:val="24"/>
          <w:lang w:val="hr-HR"/>
        </w:rPr>
        <w:t>NN 47/2014</w:t>
      </w:r>
      <w:r w:rsidR="00732099" w:rsidRPr="00FC3688">
        <w:rPr>
          <w:rFonts w:ascii="Times New Roman" w:hAnsi="Times New Roman" w:cs="Times New Roman"/>
          <w:color w:val="000000"/>
          <w:sz w:val="24"/>
          <w:szCs w:val="24"/>
          <w:lang w:val="hr-HR"/>
        </w:rPr>
        <w:t xml:space="preserve"> i 69/17</w:t>
      </w:r>
      <w:r w:rsidR="008B6430" w:rsidRPr="00FC3688">
        <w:rPr>
          <w:rFonts w:ascii="Times New Roman" w:hAnsi="Times New Roman" w:cs="Times New Roman"/>
          <w:color w:val="000000"/>
          <w:sz w:val="24"/>
          <w:szCs w:val="24"/>
          <w:lang w:val="hr-HR"/>
        </w:rPr>
        <w:t>)</w:t>
      </w:r>
      <w:r w:rsidRPr="00FC3688">
        <w:rPr>
          <w:rFonts w:ascii="Times New Roman" w:hAnsi="Times New Roman" w:cs="Times New Roman"/>
          <w:color w:val="000000"/>
          <w:sz w:val="24"/>
          <w:szCs w:val="24"/>
          <w:lang w:val="hr-HR"/>
        </w:rPr>
        <w:t> </w:t>
      </w:r>
      <w:r w:rsidR="008B6430" w:rsidRPr="00FC3688">
        <w:rPr>
          <w:rFonts w:ascii="Times New Roman" w:hAnsi="Times New Roman" w:cs="Times New Roman"/>
          <w:color w:val="000000"/>
          <w:sz w:val="24"/>
          <w:szCs w:val="24"/>
          <w:lang w:val="hr-HR"/>
        </w:rPr>
        <w:t>d</w:t>
      </w:r>
      <w:r w:rsidRPr="00FC3688">
        <w:rPr>
          <w:rFonts w:ascii="Times New Roman" w:hAnsi="Times New Roman" w:cs="Times New Roman"/>
          <w:color w:val="000000"/>
          <w:sz w:val="24"/>
          <w:szCs w:val="24"/>
          <w:lang w:val="hr-HR"/>
        </w:rPr>
        <w:t>avatelji</w:t>
      </w:r>
      <w:r w:rsidRPr="000130D9">
        <w:rPr>
          <w:rFonts w:ascii="Times New Roman" w:hAnsi="Times New Roman" w:cs="Times New Roman"/>
          <w:color w:val="000000"/>
          <w:sz w:val="24"/>
          <w:szCs w:val="24"/>
          <w:lang w:val="hr-HR"/>
        </w:rPr>
        <w:t xml:space="preserve"> državnih potpora</w:t>
      </w:r>
      <w:r w:rsidR="008B6430" w:rsidRPr="000130D9">
        <w:rPr>
          <w:rFonts w:ascii="Times New Roman" w:hAnsi="Times New Roman" w:cs="Times New Roman"/>
          <w:color w:val="000000"/>
          <w:sz w:val="24"/>
          <w:szCs w:val="24"/>
          <w:lang w:val="hr-HR"/>
        </w:rPr>
        <w:t>, u ovom slučaju Ministarstvo znanosti i obrazovanja,</w:t>
      </w:r>
      <w:r w:rsidRPr="000130D9">
        <w:rPr>
          <w:rFonts w:ascii="Times New Roman" w:hAnsi="Times New Roman" w:cs="Times New Roman"/>
          <w:color w:val="666666"/>
          <w:sz w:val="24"/>
          <w:szCs w:val="24"/>
          <w:lang w:val="hr-HR"/>
        </w:rPr>
        <w:t xml:space="preserve"> </w:t>
      </w:r>
      <w:r w:rsidRPr="000130D9">
        <w:rPr>
          <w:rFonts w:ascii="Times New Roman" w:hAnsi="Times New Roman" w:cs="Times New Roman"/>
          <w:color w:val="000000"/>
          <w:sz w:val="24"/>
          <w:szCs w:val="24"/>
          <w:lang w:val="hr-HR"/>
        </w:rPr>
        <w:t>analiziraju učinkovitost dodijeljenih državnih potpora i o tome obavještavaju Ministarstvo financija</w:t>
      </w:r>
      <w:r w:rsidR="008B6430" w:rsidRPr="000130D9">
        <w:rPr>
          <w:rFonts w:ascii="Times New Roman" w:hAnsi="Times New Roman" w:cs="Times New Roman"/>
          <w:color w:val="000000"/>
          <w:sz w:val="24"/>
          <w:szCs w:val="24"/>
          <w:lang w:val="hr-HR"/>
        </w:rPr>
        <w:t>.</w:t>
      </w:r>
    </w:p>
    <w:p w14:paraId="79AC0BE2" w14:textId="77777777" w:rsidR="007B6FA6" w:rsidRPr="000130D9" w:rsidRDefault="007B6FA6" w:rsidP="000130D9">
      <w:pPr>
        <w:pStyle w:val="ListParagraph"/>
        <w:spacing w:after="0"/>
        <w:ind w:left="0"/>
        <w:jc w:val="both"/>
        <w:rPr>
          <w:rFonts w:ascii="Times New Roman" w:hAnsi="Times New Roman" w:cs="Times New Roman"/>
          <w:b/>
          <w:bCs/>
          <w:sz w:val="24"/>
          <w:szCs w:val="24"/>
        </w:rPr>
      </w:pPr>
    </w:p>
    <w:p w14:paraId="5850E47F" w14:textId="2C8AA0E9" w:rsidR="007B6FA6" w:rsidRPr="000130D9" w:rsidRDefault="00B31E38"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Kako bi mogli analizirati učinkovitost državne potpore, </w:t>
      </w:r>
      <w:r w:rsidR="00C877E3" w:rsidRPr="000130D9">
        <w:rPr>
          <w:rFonts w:ascii="Times New Roman" w:hAnsi="Times New Roman" w:cs="Times New Roman"/>
          <w:bCs/>
          <w:sz w:val="24"/>
          <w:szCs w:val="24"/>
          <w:lang w:val="hr-HR"/>
        </w:rPr>
        <w:t>korisnici državne potpore</w:t>
      </w:r>
      <w:r w:rsidRPr="000130D9">
        <w:rPr>
          <w:rFonts w:ascii="Times New Roman" w:hAnsi="Times New Roman" w:cs="Times New Roman"/>
          <w:bCs/>
          <w:sz w:val="24"/>
          <w:szCs w:val="24"/>
          <w:lang w:val="hr-HR"/>
        </w:rPr>
        <w:t xml:space="preserve"> morat će</w:t>
      </w:r>
      <w:r w:rsidR="00C877E3" w:rsidRPr="000130D9">
        <w:rPr>
          <w:rFonts w:ascii="Times New Roman" w:hAnsi="Times New Roman" w:cs="Times New Roman"/>
          <w:bCs/>
          <w:sz w:val="24"/>
          <w:szCs w:val="24"/>
          <w:lang w:val="hr-HR"/>
        </w:rPr>
        <w:t xml:space="preserve"> </w:t>
      </w:r>
      <w:r w:rsidR="00B66265" w:rsidRPr="000130D9">
        <w:rPr>
          <w:rFonts w:ascii="Times New Roman" w:hAnsi="Times New Roman" w:cs="Times New Roman"/>
          <w:bCs/>
          <w:sz w:val="24"/>
          <w:szCs w:val="24"/>
          <w:lang w:val="hr-HR"/>
        </w:rPr>
        <w:t xml:space="preserve">na zahtjev </w:t>
      </w:r>
      <w:r w:rsidR="00C877E3" w:rsidRPr="000130D9">
        <w:rPr>
          <w:rFonts w:ascii="Times New Roman" w:hAnsi="Times New Roman" w:cs="Times New Roman"/>
          <w:bCs/>
          <w:sz w:val="24"/>
          <w:szCs w:val="24"/>
          <w:lang w:val="hr-HR"/>
        </w:rPr>
        <w:t>Ministarstv</w:t>
      </w:r>
      <w:r w:rsidR="00A2550D" w:rsidRPr="000130D9">
        <w:rPr>
          <w:rFonts w:ascii="Times New Roman" w:hAnsi="Times New Roman" w:cs="Times New Roman"/>
          <w:bCs/>
          <w:sz w:val="24"/>
          <w:szCs w:val="24"/>
          <w:lang w:val="hr-HR"/>
        </w:rPr>
        <w:t>a</w:t>
      </w:r>
      <w:r w:rsidR="00C877E3" w:rsidRPr="000130D9">
        <w:rPr>
          <w:rFonts w:ascii="Times New Roman" w:hAnsi="Times New Roman" w:cs="Times New Roman"/>
          <w:bCs/>
          <w:sz w:val="24"/>
          <w:szCs w:val="24"/>
          <w:lang w:val="hr-HR"/>
        </w:rPr>
        <w:t xml:space="preserve"> znanosti i obrazovanja</w:t>
      </w:r>
      <w:r w:rsidR="00442270" w:rsidRPr="000130D9">
        <w:rPr>
          <w:rFonts w:ascii="Times New Roman" w:hAnsi="Times New Roman" w:cs="Times New Roman"/>
          <w:bCs/>
          <w:sz w:val="24"/>
          <w:szCs w:val="24"/>
          <w:lang w:val="hr-HR"/>
        </w:rPr>
        <w:t xml:space="preserve"> </w:t>
      </w:r>
      <w:r w:rsidRPr="000130D9">
        <w:rPr>
          <w:rFonts w:ascii="Times New Roman" w:hAnsi="Times New Roman" w:cs="Times New Roman"/>
          <w:bCs/>
          <w:sz w:val="24"/>
          <w:szCs w:val="24"/>
          <w:lang w:val="hr-HR"/>
        </w:rPr>
        <w:t>dostaviti podatke</w:t>
      </w:r>
      <w:r w:rsidR="00F23D1D">
        <w:rPr>
          <w:rFonts w:ascii="Times New Roman" w:hAnsi="Times New Roman" w:cs="Times New Roman"/>
          <w:bCs/>
          <w:sz w:val="24"/>
          <w:szCs w:val="24"/>
          <w:lang w:val="hr-HR"/>
        </w:rPr>
        <w:t xml:space="preserve"> o</w:t>
      </w:r>
      <w:r w:rsidRPr="000130D9">
        <w:rPr>
          <w:rFonts w:ascii="Times New Roman" w:hAnsi="Times New Roman" w:cs="Times New Roman"/>
          <w:bCs/>
          <w:sz w:val="24"/>
          <w:szCs w:val="24"/>
          <w:lang w:val="hr-HR"/>
        </w:rPr>
        <w:t>:</w:t>
      </w:r>
    </w:p>
    <w:p w14:paraId="1C1E600F" w14:textId="6C3EFF4D" w:rsidR="00F23D1D" w:rsidRPr="00F23D1D" w:rsidRDefault="00F23D1D" w:rsidP="00F23D1D">
      <w:pPr>
        <w:tabs>
          <w:tab w:val="left" w:pos="2130"/>
        </w:tabs>
        <w:spacing w:after="0" w:line="240" w:lineRule="auto"/>
        <w:jc w:val="both"/>
        <w:rPr>
          <w:rFonts w:ascii="Times New Roman" w:eastAsia="Times New Roman" w:hAnsi="Times New Roman" w:cs="Arial"/>
          <w:szCs w:val="24"/>
          <w:lang w:val="hr-HR" w:eastAsia="hr-HR"/>
        </w:rPr>
      </w:pPr>
    </w:p>
    <w:p w14:paraId="5457E069" w14:textId="05E4A8FD" w:rsidR="00F23D1D" w:rsidRPr="00F23D1D" w:rsidRDefault="00F23D1D" w:rsidP="00F23D1D">
      <w:pPr>
        <w:numPr>
          <w:ilvl w:val="0"/>
          <w:numId w:val="19"/>
        </w:numPr>
        <w:spacing w:after="0" w:line="240" w:lineRule="auto"/>
        <w:contextualSpacing/>
        <w:jc w:val="both"/>
        <w:rPr>
          <w:rFonts w:ascii="Calibri" w:eastAsia="Times New Roman" w:hAnsi="Calibri" w:cs="Times New Roman"/>
          <w:lang w:val="hr-HR"/>
        </w:rPr>
      </w:pPr>
      <w:r>
        <w:rPr>
          <w:rFonts w:ascii="Times New Roman" w:eastAsia="Times New Roman" w:hAnsi="Times New Roman" w:cs="Times New Roman"/>
          <w:lang w:val="hr-HR"/>
        </w:rPr>
        <w:t>b</w:t>
      </w:r>
      <w:r w:rsidRPr="00F23D1D">
        <w:rPr>
          <w:rFonts w:ascii="Times New Roman" w:eastAsia="Times New Roman" w:hAnsi="Times New Roman" w:cs="Times New Roman"/>
          <w:lang w:val="hr-HR"/>
        </w:rPr>
        <w:t>roj</w:t>
      </w:r>
      <w:r>
        <w:rPr>
          <w:rFonts w:ascii="Times New Roman" w:eastAsia="Times New Roman" w:hAnsi="Times New Roman" w:cs="Times New Roman"/>
          <w:lang w:val="hr-HR"/>
        </w:rPr>
        <w:t>u</w:t>
      </w:r>
      <w:r w:rsidRPr="00F23D1D">
        <w:rPr>
          <w:rFonts w:ascii="Times New Roman" w:eastAsia="Times New Roman" w:hAnsi="Times New Roman" w:cs="Times New Roman"/>
          <w:lang w:val="hr-HR"/>
        </w:rPr>
        <w:t xml:space="preserve"> doktorskih studenata koji su doktorirali kao posljedica provedenog projekta</w:t>
      </w:r>
      <w:r>
        <w:rPr>
          <w:rFonts w:ascii="Times New Roman" w:eastAsia="Times New Roman" w:hAnsi="Times New Roman" w:cs="Times New Roman"/>
          <w:lang w:val="hr-HR"/>
        </w:rPr>
        <w:t>;</w:t>
      </w:r>
      <w:r w:rsidRPr="00F23D1D" w:rsidDel="009C17D0">
        <w:rPr>
          <w:rFonts w:ascii="Times New Roman" w:eastAsia="Times New Roman" w:hAnsi="Times New Roman" w:cs="Times New Roman"/>
          <w:lang w:val="hr-HR"/>
        </w:rPr>
        <w:t xml:space="preserve"> </w:t>
      </w:r>
    </w:p>
    <w:p w14:paraId="4A49087E" w14:textId="23BB0B3A" w:rsidR="00F23D1D" w:rsidRPr="00F23D1D" w:rsidRDefault="00F23D1D" w:rsidP="00F23D1D">
      <w:pPr>
        <w:numPr>
          <w:ilvl w:val="0"/>
          <w:numId w:val="19"/>
        </w:numPr>
        <w:spacing w:after="0" w:line="240" w:lineRule="auto"/>
        <w:contextualSpacing/>
        <w:jc w:val="both"/>
        <w:rPr>
          <w:rFonts w:ascii="Calibri" w:eastAsia="Times New Roman" w:hAnsi="Calibri" w:cs="Times New Roman"/>
          <w:lang w:val="hr-HR"/>
        </w:rPr>
      </w:pPr>
      <w:r>
        <w:rPr>
          <w:rFonts w:ascii="Times New Roman" w:eastAsia="Times New Roman" w:hAnsi="Times New Roman" w:cs="Times New Roman"/>
          <w:lang w:val="hr-HR"/>
        </w:rPr>
        <w:t xml:space="preserve">udjelu </w:t>
      </w:r>
      <w:r w:rsidRPr="00F23D1D">
        <w:rPr>
          <w:rFonts w:ascii="Times New Roman" w:eastAsia="Times New Roman" w:hAnsi="Times New Roman" w:cs="Times New Roman"/>
          <w:lang w:val="hr-HR"/>
        </w:rPr>
        <w:t>mladih istraživača koji su stekli relevantno iskustvo u poslovnom sektoru</w:t>
      </w:r>
      <w:r>
        <w:rPr>
          <w:rFonts w:ascii="Times New Roman" w:eastAsia="Times New Roman" w:hAnsi="Times New Roman" w:cs="Times New Roman"/>
          <w:lang w:val="hr-HR"/>
        </w:rPr>
        <w:t>;</w:t>
      </w:r>
      <w:r w:rsidRPr="00F23D1D" w:rsidDel="009C17D0">
        <w:rPr>
          <w:rFonts w:ascii="Times New Roman" w:eastAsia="Times New Roman" w:hAnsi="Times New Roman" w:cs="Times New Roman"/>
          <w:lang w:val="hr-HR"/>
        </w:rPr>
        <w:t xml:space="preserve"> </w:t>
      </w:r>
    </w:p>
    <w:p w14:paraId="6ED79646" w14:textId="0710C512" w:rsidR="00F23D1D" w:rsidRPr="00F23D1D" w:rsidRDefault="00F23D1D" w:rsidP="00F23D1D">
      <w:pPr>
        <w:numPr>
          <w:ilvl w:val="0"/>
          <w:numId w:val="19"/>
        </w:numPr>
        <w:spacing w:after="0" w:line="240" w:lineRule="auto"/>
        <w:contextualSpacing/>
        <w:jc w:val="both"/>
        <w:rPr>
          <w:rFonts w:ascii="Calibri" w:eastAsia="Times New Roman" w:hAnsi="Calibri" w:cs="Times New Roman"/>
          <w:lang w:val="hr-HR"/>
        </w:rPr>
      </w:pPr>
      <w:r>
        <w:rPr>
          <w:rFonts w:ascii="Times New Roman" w:eastAsia="Times New Roman" w:hAnsi="Times New Roman" w:cs="Times New Roman"/>
          <w:lang w:val="hr-HR"/>
        </w:rPr>
        <w:t>b</w:t>
      </w:r>
      <w:r w:rsidRPr="00F23D1D">
        <w:rPr>
          <w:rFonts w:ascii="Times New Roman" w:eastAsia="Times New Roman" w:hAnsi="Times New Roman" w:cs="Times New Roman"/>
          <w:lang w:val="hr-HR"/>
        </w:rPr>
        <w:t>roj</w:t>
      </w:r>
      <w:r>
        <w:rPr>
          <w:rFonts w:ascii="Times New Roman" w:eastAsia="Times New Roman" w:hAnsi="Times New Roman" w:cs="Times New Roman"/>
          <w:lang w:val="hr-HR"/>
        </w:rPr>
        <w:t>u</w:t>
      </w:r>
      <w:r w:rsidRPr="00F23D1D">
        <w:rPr>
          <w:rFonts w:ascii="Times New Roman" w:eastAsia="Times New Roman" w:hAnsi="Times New Roman" w:cs="Times New Roman"/>
          <w:lang w:val="hr-HR"/>
        </w:rPr>
        <w:t xml:space="preserve"> suradničkih projekata ugovorenih nakon završetka projekta (između istraživačkih organizacija i poduzeća)</w:t>
      </w:r>
      <w:r>
        <w:rPr>
          <w:rFonts w:ascii="Times New Roman" w:eastAsia="Times New Roman" w:hAnsi="Times New Roman" w:cs="Times New Roman"/>
          <w:lang w:val="hr-HR"/>
        </w:rPr>
        <w:t>;</w:t>
      </w:r>
    </w:p>
    <w:p w14:paraId="638D5193" w14:textId="2A6751D1" w:rsidR="00F23D1D" w:rsidRPr="00C316F5" w:rsidRDefault="00F23D1D" w:rsidP="00C316F5">
      <w:pPr>
        <w:numPr>
          <w:ilvl w:val="0"/>
          <w:numId w:val="20"/>
        </w:numPr>
        <w:spacing w:after="0" w:line="240" w:lineRule="auto"/>
        <w:ind w:left="709"/>
        <w:contextualSpacing/>
        <w:rPr>
          <w:rFonts w:ascii="Calibri" w:eastAsia="Times New Roman" w:hAnsi="Calibri" w:cs="Times New Roman"/>
          <w:lang w:val="hr-HR"/>
        </w:rPr>
      </w:pPr>
      <w:r>
        <w:rPr>
          <w:rFonts w:ascii="Times New Roman" w:eastAsia="Times New Roman" w:hAnsi="Times New Roman" w:cs="Times New Roman"/>
          <w:lang w:val="hr-HR"/>
        </w:rPr>
        <w:t>udjelu</w:t>
      </w:r>
      <w:r w:rsidRPr="00F23D1D">
        <w:rPr>
          <w:rFonts w:ascii="Times New Roman" w:eastAsia="Times New Roman" w:hAnsi="Times New Roman" w:cs="Times New Roman"/>
          <w:lang w:val="hr-HR"/>
        </w:rPr>
        <w:t xml:space="preserve"> podržanih mladih istraživača koji su zaposleni u poslovnom sektoru nakon završetka projekt</w:t>
      </w:r>
      <w:r>
        <w:rPr>
          <w:rFonts w:ascii="Calibri" w:eastAsia="Times New Roman" w:hAnsi="Calibri" w:cs="Times New Roman"/>
          <w:lang w:val="hr-HR"/>
        </w:rPr>
        <w:t>a;</w:t>
      </w:r>
    </w:p>
    <w:p w14:paraId="3F7F4D31" w14:textId="014841C9" w:rsidR="00F23D1D" w:rsidRPr="00F23D1D" w:rsidRDefault="00F23D1D" w:rsidP="00F23D1D">
      <w:pPr>
        <w:numPr>
          <w:ilvl w:val="0"/>
          <w:numId w:val="18"/>
        </w:numPr>
        <w:spacing w:after="0" w:line="240" w:lineRule="auto"/>
        <w:jc w:val="both"/>
        <w:rPr>
          <w:rFonts w:ascii="Times New Roman" w:eastAsia="Times New Roman" w:hAnsi="Times New Roman" w:cs="Times New Roman"/>
          <w:szCs w:val="24"/>
          <w:lang w:val="hr-HR" w:eastAsia="hr-HR"/>
        </w:rPr>
      </w:pPr>
      <w:r>
        <w:rPr>
          <w:rFonts w:ascii="Times New Roman" w:eastAsia="Times New Roman" w:hAnsi="Times New Roman" w:cs="Times New Roman"/>
          <w:szCs w:val="24"/>
          <w:lang w:val="hr-HR" w:eastAsia="hr-HR"/>
        </w:rPr>
        <w:t>b</w:t>
      </w:r>
      <w:r w:rsidRPr="00F23D1D">
        <w:rPr>
          <w:rFonts w:ascii="Times New Roman" w:eastAsia="Times New Roman" w:hAnsi="Times New Roman" w:cs="Times New Roman"/>
          <w:szCs w:val="24"/>
          <w:lang w:val="hr-HR" w:eastAsia="hr-HR"/>
        </w:rPr>
        <w:t>roj</w:t>
      </w:r>
      <w:r>
        <w:rPr>
          <w:rFonts w:ascii="Times New Roman" w:eastAsia="Times New Roman" w:hAnsi="Times New Roman" w:cs="Times New Roman"/>
          <w:szCs w:val="24"/>
          <w:lang w:val="hr-HR" w:eastAsia="hr-HR"/>
        </w:rPr>
        <w:t>u</w:t>
      </w:r>
      <w:r w:rsidRPr="00F23D1D">
        <w:rPr>
          <w:rFonts w:ascii="Times New Roman" w:eastAsia="Times New Roman" w:hAnsi="Times New Roman" w:cs="Times New Roman"/>
          <w:szCs w:val="24"/>
          <w:lang w:val="hr-HR" w:eastAsia="hr-HR"/>
        </w:rPr>
        <w:t xml:space="preserve"> </w:t>
      </w:r>
      <w:r w:rsidR="00DA340D">
        <w:rPr>
          <w:rFonts w:ascii="Times New Roman" w:eastAsia="Times New Roman" w:hAnsi="Times New Roman" w:cs="Times New Roman"/>
          <w:szCs w:val="24"/>
          <w:lang w:val="hr-HR" w:eastAsia="hr-HR"/>
        </w:rPr>
        <w:t>doktorskih studenata</w:t>
      </w:r>
      <w:r w:rsidR="00DA340D" w:rsidRPr="00F23D1D">
        <w:rPr>
          <w:rFonts w:ascii="Times New Roman" w:eastAsia="Times New Roman" w:hAnsi="Times New Roman" w:cs="Times New Roman"/>
          <w:szCs w:val="24"/>
          <w:lang w:val="hr-HR" w:eastAsia="hr-HR"/>
        </w:rPr>
        <w:t xml:space="preserve"> </w:t>
      </w:r>
      <w:r w:rsidRPr="00F23D1D">
        <w:rPr>
          <w:rFonts w:ascii="Times New Roman" w:eastAsia="Times New Roman" w:hAnsi="Times New Roman" w:cs="Times New Roman"/>
          <w:szCs w:val="24"/>
          <w:lang w:val="hr-HR" w:eastAsia="hr-HR"/>
        </w:rPr>
        <w:t>koji primaju potporu za stjecanje doktorata</w:t>
      </w:r>
      <w:r>
        <w:rPr>
          <w:rFonts w:ascii="Times New Roman" w:eastAsia="Times New Roman" w:hAnsi="Times New Roman" w:cs="Times New Roman"/>
          <w:szCs w:val="24"/>
          <w:lang w:val="hr-HR" w:eastAsia="hr-HR"/>
        </w:rPr>
        <w:t>;</w:t>
      </w:r>
    </w:p>
    <w:p w14:paraId="11C13402" w14:textId="0405D28D" w:rsidR="00F23D1D" w:rsidRPr="00F23D1D" w:rsidRDefault="00F23D1D" w:rsidP="00F23D1D">
      <w:pPr>
        <w:numPr>
          <w:ilvl w:val="0"/>
          <w:numId w:val="18"/>
        </w:numPr>
        <w:spacing w:after="0" w:line="240" w:lineRule="auto"/>
        <w:jc w:val="both"/>
        <w:rPr>
          <w:rFonts w:ascii="Times New Roman" w:eastAsia="Times New Roman" w:hAnsi="Times New Roman" w:cs="Times New Roman"/>
          <w:szCs w:val="24"/>
          <w:lang w:val="hr-HR" w:eastAsia="hr-HR"/>
        </w:rPr>
      </w:pPr>
      <w:r>
        <w:rPr>
          <w:rFonts w:ascii="Times New Roman" w:eastAsia="Times New Roman" w:hAnsi="Times New Roman" w:cs="Times New Roman"/>
          <w:szCs w:val="24"/>
          <w:lang w:val="hr-HR" w:eastAsia="hr-HR"/>
        </w:rPr>
        <w:t>b</w:t>
      </w:r>
      <w:r w:rsidRPr="00F23D1D">
        <w:rPr>
          <w:rFonts w:ascii="Times New Roman" w:eastAsia="Times New Roman" w:hAnsi="Times New Roman" w:cs="Times New Roman"/>
          <w:szCs w:val="24"/>
          <w:lang w:val="hr-HR" w:eastAsia="hr-HR"/>
        </w:rPr>
        <w:t>roj</w:t>
      </w:r>
      <w:r>
        <w:rPr>
          <w:rFonts w:ascii="Times New Roman" w:eastAsia="Times New Roman" w:hAnsi="Times New Roman" w:cs="Times New Roman"/>
          <w:szCs w:val="24"/>
          <w:lang w:val="hr-HR" w:eastAsia="hr-HR"/>
        </w:rPr>
        <w:t>u</w:t>
      </w:r>
      <w:r w:rsidRPr="00F23D1D">
        <w:rPr>
          <w:rFonts w:ascii="Times New Roman" w:eastAsia="Times New Roman" w:hAnsi="Times New Roman" w:cs="Times New Roman"/>
          <w:szCs w:val="24"/>
          <w:lang w:val="hr-HR" w:eastAsia="hr-HR"/>
        </w:rPr>
        <w:t xml:space="preserve"> mladih istraživača koji primaju potporu za jačanje vještina</w:t>
      </w:r>
      <w:r>
        <w:rPr>
          <w:rFonts w:ascii="Times New Roman" w:eastAsia="Times New Roman" w:hAnsi="Times New Roman" w:cs="Times New Roman"/>
          <w:szCs w:val="24"/>
          <w:lang w:val="hr-HR" w:eastAsia="hr-HR"/>
        </w:rPr>
        <w:t>;</w:t>
      </w:r>
    </w:p>
    <w:p w14:paraId="3BF4F716" w14:textId="0FDFC07C" w:rsidR="00F23D1D" w:rsidRPr="00F23D1D" w:rsidRDefault="00F23D1D" w:rsidP="00F23D1D">
      <w:pPr>
        <w:numPr>
          <w:ilvl w:val="0"/>
          <w:numId w:val="18"/>
        </w:numPr>
        <w:spacing w:after="0" w:line="240" w:lineRule="auto"/>
        <w:jc w:val="both"/>
        <w:rPr>
          <w:rFonts w:ascii="Times New Roman" w:eastAsia="Times New Roman" w:hAnsi="Times New Roman" w:cs="Times New Roman"/>
          <w:szCs w:val="24"/>
          <w:lang w:val="hr-HR" w:eastAsia="hr-HR"/>
        </w:rPr>
      </w:pPr>
      <w:r>
        <w:rPr>
          <w:rFonts w:ascii="Times New Roman" w:eastAsia="Times New Roman" w:hAnsi="Times New Roman" w:cs="Times New Roman"/>
          <w:szCs w:val="24"/>
          <w:lang w:val="hr-HR" w:eastAsia="hr-HR"/>
        </w:rPr>
        <w:t>b</w:t>
      </w:r>
      <w:r w:rsidRPr="00F23D1D">
        <w:rPr>
          <w:rFonts w:ascii="Times New Roman" w:eastAsia="Times New Roman" w:hAnsi="Times New Roman" w:cs="Times New Roman"/>
          <w:szCs w:val="24"/>
          <w:lang w:val="hr-HR" w:eastAsia="hr-HR"/>
        </w:rPr>
        <w:t>roj</w:t>
      </w:r>
      <w:r>
        <w:rPr>
          <w:rFonts w:ascii="Times New Roman" w:eastAsia="Times New Roman" w:hAnsi="Times New Roman" w:cs="Times New Roman"/>
          <w:szCs w:val="24"/>
          <w:lang w:val="hr-HR" w:eastAsia="hr-HR"/>
        </w:rPr>
        <w:t>u</w:t>
      </w:r>
      <w:r w:rsidRPr="00F23D1D">
        <w:rPr>
          <w:rFonts w:ascii="Times New Roman" w:eastAsia="Times New Roman" w:hAnsi="Times New Roman" w:cs="Times New Roman"/>
          <w:szCs w:val="24"/>
          <w:lang w:val="hr-HR" w:eastAsia="hr-HR"/>
        </w:rPr>
        <w:t xml:space="preserve"> podržanih aktivnosti za jačanje vještina mladih istraživača</w:t>
      </w:r>
      <w:r>
        <w:rPr>
          <w:rFonts w:ascii="Times New Roman" w:eastAsia="Times New Roman" w:hAnsi="Times New Roman" w:cs="Times New Roman"/>
          <w:szCs w:val="24"/>
          <w:lang w:val="hr-HR" w:eastAsia="hr-HR"/>
        </w:rPr>
        <w:t>;</w:t>
      </w:r>
    </w:p>
    <w:p w14:paraId="3FB7CFF9" w14:textId="3D7EBD26" w:rsidR="00F23D1D" w:rsidRDefault="00F23D1D" w:rsidP="00F23D1D">
      <w:pPr>
        <w:numPr>
          <w:ilvl w:val="0"/>
          <w:numId w:val="18"/>
        </w:numPr>
        <w:spacing w:after="0" w:line="240" w:lineRule="auto"/>
        <w:jc w:val="both"/>
        <w:rPr>
          <w:rFonts w:ascii="Times New Roman" w:eastAsia="Times New Roman" w:hAnsi="Times New Roman" w:cs="Times New Roman"/>
          <w:szCs w:val="24"/>
          <w:lang w:val="hr-HR" w:eastAsia="hr-HR"/>
        </w:rPr>
      </w:pPr>
      <w:r>
        <w:rPr>
          <w:rFonts w:ascii="Times New Roman" w:eastAsia="Times New Roman" w:hAnsi="Times New Roman" w:cs="Times New Roman"/>
          <w:szCs w:val="24"/>
          <w:lang w:val="hr-HR" w:eastAsia="hr-HR"/>
        </w:rPr>
        <w:t>b</w:t>
      </w:r>
      <w:r w:rsidRPr="00F23D1D">
        <w:rPr>
          <w:rFonts w:ascii="Times New Roman" w:eastAsia="Times New Roman" w:hAnsi="Times New Roman" w:cs="Times New Roman"/>
          <w:szCs w:val="24"/>
          <w:lang w:val="hr-HR" w:eastAsia="hr-HR"/>
        </w:rPr>
        <w:t>roj</w:t>
      </w:r>
      <w:r>
        <w:rPr>
          <w:rFonts w:ascii="Times New Roman" w:eastAsia="Times New Roman" w:hAnsi="Times New Roman" w:cs="Times New Roman"/>
          <w:szCs w:val="24"/>
          <w:lang w:val="hr-HR" w:eastAsia="hr-HR"/>
        </w:rPr>
        <w:t>u</w:t>
      </w:r>
      <w:r w:rsidRPr="00F23D1D">
        <w:rPr>
          <w:rFonts w:ascii="Times New Roman" w:eastAsia="Times New Roman" w:hAnsi="Times New Roman" w:cs="Times New Roman"/>
          <w:szCs w:val="24"/>
          <w:lang w:val="hr-HR" w:eastAsia="hr-HR"/>
        </w:rPr>
        <w:t xml:space="preserve"> podržanih suradničkih istraživačkih projekata (između istraživačkih organizacija i poduzeća)</w:t>
      </w:r>
      <w:r>
        <w:rPr>
          <w:rFonts w:ascii="Times New Roman" w:eastAsia="Times New Roman" w:hAnsi="Times New Roman" w:cs="Times New Roman"/>
          <w:szCs w:val="24"/>
          <w:lang w:val="hr-HR" w:eastAsia="hr-HR"/>
        </w:rPr>
        <w:t xml:space="preserve"> te</w:t>
      </w:r>
      <w:bookmarkStart w:id="0" w:name="_GoBack"/>
      <w:bookmarkEnd w:id="0"/>
    </w:p>
    <w:p w14:paraId="5011381C" w14:textId="77777777" w:rsidR="00F23D1D" w:rsidRPr="00F23D1D" w:rsidRDefault="00F23D1D" w:rsidP="00F23D1D">
      <w:pPr>
        <w:pStyle w:val="ListParagraph"/>
        <w:numPr>
          <w:ilvl w:val="0"/>
          <w:numId w:val="18"/>
        </w:numPr>
        <w:rPr>
          <w:rFonts w:ascii="Times New Roman" w:eastAsia="Times New Roman" w:hAnsi="Times New Roman" w:cs="Times New Roman"/>
          <w:szCs w:val="24"/>
          <w:lang w:val="hr-HR" w:eastAsia="hr-HR"/>
        </w:rPr>
      </w:pPr>
      <w:r w:rsidRPr="00F23D1D">
        <w:rPr>
          <w:rFonts w:ascii="Times New Roman" w:eastAsia="Times New Roman" w:hAnsi="Times New Roman" w:cs="Times New Roman"/>
          <w:szCs w:val="24"/>
          <w:lang w:val="hr-HR" w:eastAsia="hr-HR"/>
        </w:rPr>
        <w:t>ostale informacije vezane za učinak državne potpore.</w:t>
      </w:r>
    </w:p>
    <w:p w14:paraId="6B076F97" w14:textId="77777777" w:rsidR="00F23D1D" w:rsidRPr="00F23D1D" w:rsidRDefault="00F23D1D" w:rsidP="00C316F5">
      <w:pPr>
        <w:spacing w:after="0" w:line="240" w:lineRule="auto"/>
        <w:ind w:left="720"/>
        <w:jc w:val="both"/>
        <w:rPr>
          <w:rFonts w:ascii="Times New Roman" w:eastAsia="Times New Roman" w:hAnsi="Times New Roman" w:cs="Times New Roman"/>
          <w:szCs w:val="24"/>
          <w:lang w:val="hr-HR" w:eastAsia="hr-HR"/>
        </w:rPr>
      </w:pPr>
    </w:p>
    <w:p w14:paraId="68BC0C9A" w14:textId="77777777" w:rsidR="00B66265" w:rsidRPr="000130D9" w:rsidRDefault="00B66265" w:rsidP="000130D9">
      <w:pPr>
        <w:pStyle w:val="ListParagraph"/>
        <w:spacing w:after="0"/>
        <w:ind w:left="0"/>
        <w:jc w:val="both"/>
        <w:rPr>
          <w:rFonts w:ascii="Times New Roman" w:hAnsi="Times New Roman" w:cs="Times New Roman"/>
          <w:sz w:val="24"/>
          <w:szCs w:val="24"/>
          <w:lang w:val="hr-HR" w:bidi="hr-HR"/>
        </w:rPr>
      </w:pPr>
    </w:p>
    <w:p w14:paraId="113C569A" w14:textId="6C2560D3" w:rsidR="00C642E2" w:rsidRPr="000130D9" w:rsidRDefault="00C642E2"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poštivanje svih pravila o državnim potporama navedeni</w:t>
      </w:r>
      <w:r w:rsidR="007C6F0C">
        <w:rPr>
          <w:rFonts w:ascii="Times New Roman" w:hAnsi="Times New Roman" w:cs="Times New Roman"/>
          <w:sz w:val="24"/>
          <w:szCs w:val="24"/>
          <w:lang w:val="hr-HR" w:bidi="hr-HR"/>
        </w:rPr>
        <w:t>h</w:t>
      </w:r>
      <w:r w:rsidRPr="000130D9">
        <w:rPr>
          <w:rFonts w:ascii="Times New Roman" w:hAnsi="Times New Roman" w:cs="Times New Roman"/>
          <w:sz w:val="24"/>
          <w:szCs w:val="24"/>
          <w:lang w:val="hr-HR" w:bidi="hr-HR"/>
        </w:rPr>
        <w:t xml:space="preserve"> u ovim Smjernicama, a vezano za </w:t>
      </w:r>
      <w:r w:rsidR="00B66265" w:rsidRPr="000130D9">
        <w:rPr>
          <w:rFonts w:ascii="Times New Roman" w:hAnsi="Times New Roman" w:cs="Times New Roman"/>
          <w:sz w:val="24"/>
          <w:szCs w:val="24"/>
          <w:lang w:val="hr-HR" w:bidi="hr-HR"/>
        </w:rPr>
        <w:t>ista, u formalnom smislu poduzetnici</w:t>
      </w:r>
      <w:r w:rsidRPr="000130D9">
        <w:rPr>
          <w:rFonts w:ascii="Times New Roman" w:hAnsi="Times New Roman" w:cs="Times New Roman"/>
          <w:sz w:val="24"/>
          <w:szCs w:val="24"/>
          <w:lang w:val="hr-HR" w:bidi="hr-HR"/>
        </w:rPr>
        <w:t xml:space="preserve"> moraju:</w:t>
      </w:r>
    </w:p>
    <w:p w14:paraId="03A39BFF" w14:textId="2D0DF2C3" w:rsidR="00C642E2" w:rsidRPr="000130D9" w:rsidRDefault="00C642E2" w:rsidP="00C316F5">
      <w:pPr>
        <w:pStyle w:val="ListParagraph"/>
        <w:numPr>
          <w:ilvl w:val="0"/>
          <w:numId w:val="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podnijeti pisani zahtjev za potporu prije početka rada na projektu</w:t>
      </w:r>
      <w:r w:rsidRPr="000130D9">
        <w:rPr>
          <w:rFonts w:ascii="Times New Roman" w:hAnsi="Times New Roman" w:cs="Times New Roman"/>
          <w:sz w:val="24"/>
          <w:szCs w:val="24"/>
          <w:lang w:val="hr-HR" w:bidi="hr-HR"/>
        </w:rPr>
        <w:t xml:space="preserve">, odnosno popuniti i Obrazac </w:t>
      </w:r>
      <w:r w:rsidR="00DA340D">
        <w:rPr>
          <w:rFonts w:ascii="Times New Roman" w:hAnsi="Times New Roman" w:cs="Times New Roman"/>
          <w:sz w:val="24"/>
          <w:szCs w:val="24"/>
          <w:lang w:val="hr-HR" w:bidi="hr-HR"/>
        </w:rPr>
        <w:t>7</w:t>
      </w:r>
      <w:r w:rsidRPr="000130D9">
        <w:rPr>
          <w:rFonts w:ascii="Times New Roman" w:hAnsi="Times New Roman" w:cs="Times New Roman"/>
          <w:sz w:val="24"/>
          <w:szCs w:val="24"/>
          <w:lang w:val="hr-HR" w:bidi="hr-HR"/>
        </w:rPr>
        <w:t xml:space="preserve">. koji se predaje </w:t>
      </w:r>
      <w:r w:rsidR="00DA340D">
        <w:rPr>
          <w:rFonts w:ascii="Times New Roman" w:hAnsi="Times New Roman" w:cs="Times New Roman"/>
          <w:sz w:val="24"/>
          <w:szCs w:val="24"/>
          <w:lang w:val="hr-HR" w:bidi="hr-HR"/>
        </w:rPr>
        <w:t>prije potpisa Ugovora</w:t>
      </w:r>
      <w:r w:rsidR="00732099" w:rsidRPr="000130D9">
        <w:rPr>
          <w:rFonts w:ascii="Times New Roman" w:hAnsi="Times New Roman" w:cs="Times New Roman"/>
          <w:sz w:val="24"/>
          <w:szCs w:val="24"/>
          <w:lang w:val="hr-HR" w:bidi="hr-HR"/>
        </w:rPr>
        <w:t>,</w:t>
      </w:r>
    </w:p>
    <w:p w14:paraId="36A44733" w14:textId="77777777" w:rsidR="00C642E2" w:rsidRPr="000130D9" w:rsidRDefault="00C642E2" w:rsidP="00C316F5">
      <w:pPr>
        <w:pStyle w:val="ListParagraph"/>
        <w:numPr>
          <w:ilvl w:val="0"/>
          <w:numId w:val="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dostaviti podatke o učinkovitosti državne potpore</w:t>
      </w:r>
      <w:r w:rsidR="00B66265" w:rsidRPr="000130D9">
        <w:rPr>
          <w:rFonts w:ascii="Times New Roman" w:hAnsi="Times New Roman" w:cs="Times New Roman"/>
          <w:b/>
          <w:sz w:val="24"/>
          <w:szCs w:val="24"/>
          <w:lang w:val="hr-HR" w:bidi="hr-HR"/>
        </w:rPr>
        <w:t xml:space="preserve"> na traženje ministarstva</w:t>
      </w:r>
      <w:r w:rsidR="00732099" w:rsidRPr="000130D9">
        <w:rPr>
          <w:rFonts w:ascii="Times New Roman" w:hAnsi="Times New Roman" w:cs="Times New Roman"/>
          <w:b/>
          <w:sz w:val="24"/>
          <w:szCs w:val="24"/>
          <w:lang w:val="hr-HR" w:bidi="hr-HR"/>
        </w:rPr>
        <w:t>.</w:t>
      </w:r>
    </w:p>
    <w:p w14:paraId="0EF2E74A" w14:textId="77777777" w:rsidR="00B66265" w:rsidRPr="000130D9" w:rsidRDefault="00B66265">
      <w:pPr>
        <w:pStyle w:val="ListParagraph"/>
        <w:ind w:left="0"/>
        <w:jc w:val="both"/>
        <w:rPr>
          <w:rFonts w:ascii="Times New Roman" w:hAnsi="Times New Roman" w:cs="Times New Roman"/>
          <w:lang w:val="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494717" w14:paraId="67254343" w14:textId="77777777" w:rsidTr="00C642E2">
        <w:tc>
          <w:tcPr>
            <w:tcW w:w="9062" w:type="dxa"/>
            <w:shd w:val="clear" w:color="auto" w:fill="B8CCE4" w:themeFill="accent1" w:themeFillTint="66"/>
          </w:tcPr>
          <w:p w14:paraId="179FC3BF" w14:textId="77777777" w:rsidR="007F1D63" w:rsidRPr="00B53249" w:rsidRDefault="007F1D63" w:rsidP="000130D9">
            <w:pPr>
              <w:spacing w:before="120" w:after="120" w:line="276" w:lineRule="auto"/>
              <w:jc w:val="both"/>
              <w:rPr>
                <w:rFonts w:ascii="Times New Roman" w:hAnsi="Times New Roman" w:cs="Times New Roman"/>
                <w:b/>
                <w:lang w:val="hr-HR"/>
              </w:rPr>
            </w:pPr>
            <w:r w:rsidRPr="00B53249">
              <w:rPr>
                <w:rFonts w:ascii="Times New Roman" w:hAnsi="Times New Roman" w:cs="Times New Roman"/>
                <w:b/>
                <w:lang w:val="hr-HR"/>
              </w:rPr>
              <w:lastRenderedPageBreak/>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0130D9" w:rsidRDefault="00FD46E6">
      <w:pPr>
        <w:spacing w:before="120" w:after="120"/>
        <w:jc w:val="both"/>
        <w:rPr>
          <w:rFonts w:ascii="Times New Roman" w:hAnsi="Times New Roman" w:cs="Times New Roman"/>
          <w:lang w:val="hr-HR"/>
        </w:rPr>
      </w:pPr>
    </w:p>
    <w:sectPr w:rsidR="00FD46E6" w:rsidRPr="00013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B41C" w14:textId="77777777" w:rsidR="00C708DB" w:rsidRDefault="00C708DB" w:rsidP="00A65695">
      <w:pPr>
        <w:spacing w:after="0" w:line="240" w:lineRule="auto"/>
      </w:pPr>
      <w:r>
        <w:separator/>
      </w:r>
    </w:p>
  </w:endnote>
  <w:endnote w:type="continuationSeparator" w:id="0">
    <w:p w14:paraId="739C7633" w14:textId="77777777" w:rsidR="00C708DB" w:rsidRDefault="00C708DB"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rPr>
        <w:rFonts w:ascii="Times New Roman" w:hAnsi="Times New Roman" w:cs="Times New Roman"/>
      </w:rPr>
    </w:sdtEndPr>
    <w:sdtContent>
      <w:p w14:paraId="2D003F42" w14:textId="2B016039"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F712CC" w:rsidRPr="00F712CC">
          <w:rPr>
            <w:rFonts w:ascii="Times New Roman" w:hAnsi="Times New Roman" w:cs="Times New Roman"/>
            <w:noProof/>
            <w:lang w:val="pl-PL"/>
          </w:rPr>
          <w:t>1</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803B" w14:textId="77777777" w:rsidR="00C708DB" w:rsidRDefault="00C708DB" w:rsidP="00A65695">
      <w:pPr>
        <w:spacing w:after="0" w:line="240" w:lineRule="auto"/>
      </w:pPr>
      <w:r>
        <w:separator/>
      </w:r>
    </w:p>
  </w:footnote>
  <w:footnote w:type="continuationSeparator" w:id="0">
    <w:p w14:paraId="3D05E63F" w14:textId="77777777" w:rsidR="00C708DB" w:rsidRDefault="00C708DB" w:rsidP="00A65695">
      <w:pPr>
        <w:spacing w:after="0" w:line="240" w:lineRule="auto"/>
      </w:pPr>
      <w:r>
        <w:continuationSeparator/>
      </w:r>
    </w:p>
  </w:footnote>
  <w:footnote w:id="1">
    <w:p w14:paraId="4AC6826B" w14:textId="32813C19" w:rsidR="004F6221" w:rsidRPr="004F6221" w:rsidRDefault="004F6221">
      <w:pPr>
        <w:pStyle w:val="FootnoteText"/>
        <w:rPr>
          <w:lang w:val="hr-HR"/>
        </w:rPr>
      </w:pPr>
      <w:r w:rsidRPr="004F6221">
        <w:rPr>
          <w:sz w:val="16"/>
          <w:szCs w:val="16"/>
          <w:lang w:val="hr-HR"/>
        </w:rPr>
        <w:footnoteRef/>
      </w:r>
      <w:r w:rsidRPr="004F6221">
        <w:rPr>
          <w:sz w:val="16"/>
          <w:szCs w:val="16"/>
          <w:lang w:val="hr-HR"/>
        </w:rPr>
        <w:t xml:space="preserve"> </w:t>
      </w:r>
      <w:hyperlink r:id="rId1" w:history="1">
        <w:r w:rsidRPr="004F6221">
          <w:rPr>
            <w:rStyle w:val="Hyperlink"/>
            <w:sz w:val="16"/>
            <w:szCs w:val="16"/>
            <w:lang w:val="hr-HR"/>
          </w:rPr>
          <w:t>https://eur-lex.europa.eu/legal-content/HR/TXT/PDF/?uri=CELEX:52022XC1028(03)&amp;from=HR</w:t>
        </w:r>
      </w:hyperlink>
      <w:r>
        <w:rPr>
          <w:sz w:val="16"/>
          <w:szCs w:val="16"/>
          <w:lang w:val="hr-HR"/>
        </w:rPr>
        <w:t xml:space="preserve"> </w:t>
      </w:r>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0F133D">
        <w:rPr>
          <w:sz w:val="16"/>
          <w:szCs w:val="16"/>
        </w:rPr>
        <w:t xml:space="preserve"> </w:t>
      </w:r>
      <w:hyperlink r:id="rId2" w:history="1">
        <w:r w:rsidRPr="000F133D">
          <w:rPr>
            <w:rStyle w:val="Hyperlink"/>
            <w:rFonts w:ascii="Times New Roman" w:hAnsi="Times New Roman" w:cs="Times New Roman"/>
            <w:sz w:val="16"/>
            <w:szCs w:val="16"/>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3" w:history="1">
        <w:r w:rsidR="0028469A" w:rsidRPr="000F133D">
          <w:rPr>
            <w:rStyle w:val="Hyperlink"/>
            <w:rFonts w:ascii="Times New Roman" w:hAnsi="Times New Roman" w:cs="Times New Roman"/>
            <w:sz w:val="16"/>
            <w:szCs w:val="16"/>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4" w:history="1">
        <w:r w:rsidRPr="000F133D">
          <w:rPr>
            <w:rStyle w:val="Hyperlink"/>
            <w:rFonts w:ascii="Times New Roman" w:hAnsi="Times New Roman" w:cs="Times New Roman"/>
            <w:sz w:val="16"/>
            <w:szCs w:val="16"/>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0F133D">
        <w:rPr>
          <w:rStyle w:val="FootnoteReference"/>
          <w:sz w:val="16"/>
          <w:szCs w:val="16"/>
        </w:rPr>
        <w:t xml:space="preserve"> </w:t>
      </w:r>
      <w:hyperlink r:id="rId5" w:history="1">
        <w:r w:rsidRPr="000F133D">
          <w:rPr>
            <w:rStyle w:val="Hyperlink"/>
            <w:rFonts w:ascii="Times New Roman" w:hAnsi="Times New Roman" w:cs="Times New Roman"/>
            <w:sz w:val="16"/>
            <w:szCs w:val="16"/>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7">
    <w:p w14:paraId="3FAAAD5D"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w:t>
      </w:r>
      <w:r w:rsidR="00CC6D09" w:rsidRPr="000F133D">
        <w:rPr>
          <w:rFonts w:ascii="Times New Roman" w:hAnsi="Times New Roman" w:cs="Times New Roman"/>
          <w:sz w:val="16"/>
          <w:szCs w:val="16"/>
          <w:lang w:val="hr-HR"/>
        </w:rPr>
        <w:t xml:space="preserve">Uredbe 651/2014 i Uredbe 1084/2017 </w:t>
      </w:r>
      <w:r w:rsidRPr="000F133D">
        <w:rPr>
          <w:rFonts w:ascii="Times New Roman" w:hAnsi="Times New Roman" w:cs="Times New Roman"/>
          <w:sz w:val="16"/>
          <w:szCs w:val="16"/>
          <w:lang w:val="hr-HR"/>
        </w:rPr>
        <w:t>u kojem se navode određene kategorije potpora koje su spojive s unutarnjim tržištem u primjeni članaka 107. i 108. Ugovora (OJ L 187, 26.6.2014,str. 1).</w:t>
      </w:r>
    </w:p>
  </w:footnote>
  <w:footnote w:id="8">
    <w:p w14:paraId="11C98E3F"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lang w:val="hr-HR"/>
        </w:rPr>
        <w:footnoteRef/>
      </w:r>
      <w:r w:rsidRPr="000F133D">
        <w:rPr>
          <w:rFonts w:ascii="Times New Roman" w:hAnsi="Times New Roman" w:cs="Times New Roman"/>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9">
    <w:p w14:paraId="7C62C8F8" w14:textId="77777777" w:rsidR="005909A1" w:rsidRPr="000F133D" w:rsidRDefault="005909A1" w:rsidP="00B65D21">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p>
  </w:footnote>
  <w:footnote w:id="10">
    <w:p w14:paraId="74C4DA3C" w14:textId="77777777" w:rsidR="00166E1C" w:rsidRPr="000F133D" w:rsidRDefault="00166E1C" w:rsidP="00782C1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 xml:space="preserve">Predmetni subjekt se odnosi na npr. laboratorij, centar, zavod, ustrojstvenu jedinicu u okviru koje se oprema kupuje. Ukoliko sama oprema koja se kupuje može biti zasebno shvaćena kao predmetni subjekt tj. da svrha rada te opreme ne ovisi o drugoj opremi tj, nije sastavni dio veće cjeline onda bi se oprema mogla smatrati predmetnim subjektom za izračun kapaciteta. U suprotnom ukoliko će oprema koja se planira nabaviti u okviru ovog Poziva biti dio cjeline (tj. da ovisi o radu druge opreme ili će se za svrhu istraživanja koje se provodi koristi kao dio cjeline) onda se ta cjelina uzima kao predmetni subjekt.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7B" w14:textId="454CE388" w:rsidR="00841455" w:rsidRPr="00585E17" w:rsidRDefault="000F133D" w:rsidP="000F133D">
    <w:pPr>
      <w:pStyle w:val="Header"/>
      <w:rPr>
        <w:rFonts w:asciiTheme="minorHAnsi" w:hAnsiTheme="minorHAnsi"/>
        <w:sz w:val="24"/>
        <w:lang w:val="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7C53A1"/>
    <w:multiLevelType w:val="hybridMultilevel"/>
    <w:tmpl w:val="2DA457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53B6112"/>
    <w:multiLevelType w:val="multilevel"/>
    <w:tmpl w:val="760625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8" w15:restartNumberingAfterBreak="0">
    <w:nsid w:val="55351391"/>
    <w:multiLevelType w:val="hybridMultilevel"/>
    <w:tmpl w:val="3A645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B85140F"/>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686420F"/>
    <w:multiLevelType w:val="hybridMultilevel"/>
    <w:tmpl w:val="FC060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9"/>
  </w:num>
  <w:num w:numId="7">
    <w:abstractNumId w:val="1"/>
  </w:num>
  <w:num w:numId="8">
    <w:abstractNumId w:val="13"/>
  </w:num>
  <w:num w:numId="9">
    <w:abstractNumId w:val="1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2"/>
  </w:num>
  <w:num w:numId="21">
    <w:abstractNumId w:val="10"/>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30D9"/>
    <w:rsid w:val="0001544D"/>
    <w:rsid w:val="000158FE"/>
    <w:rsid w:val="0002340C"/>
    <w:rsid w:val="000253AD"/>
    <w:rsid w:val="00030E89"/>
    <w:rsid w:val="00032730"/>
    <w:rsid w:val="00037BD6"/>
    <w:rsid w:val="000402DC"/>
    <w:rsid w:val="00043276"/>
    <w:rsid w:val="00050D9D"/>
    <w:rsid w:val="000553C8"/>
    <w:rsid w:val="0005665F"/>
    <w:rsid w:val="00056F80"/>
    <w:rsid w:val="00057CE9"/>
    <w:rsid w:val="00071031"/>
    <w:rsid w:val="000719AF"/>
    <w:rsid w:val="00074822"/>
    <w:rsid w:val="00074A40"/>
    <w:rsid w:val="00075EEB"/>
    <w:rsid w:val="00076EB6"/>
    <w:rsid w:val="00084F09"/>
    <w:rsid w:val="00090674"/>
    <w:rsid w:val="00092476"/>
    <w:rsid w:val="0009260B"/>
    <w:rsid w:val="0009719A"/>
    <w:rsid w:val="000A6E37"/>
    <w:rsid w:val="000B01F3"/>
    <w:rsid w:val="000B7D5B"/>
    <w:rsid w:val="000C1ABB"/>
    <w:rsid w:val="000C31AF"/>
    <w:rsid w:val="000C328A"/>
    <w:rsid w:val="000D0FF8"/>
    <w:rsid w:val="000D35B2"/>
    <w:rsid w:val="000D4A93"/>
    <w:rsid w:val="000D5593"/>
    <w:rsid w:val="000D7E74"/>
    <w:rsid w:val="000F133D"/>
    <w:rsid w:val="000F2263"/>
    <w:rsid w:val="0010262D"/>
    <w:rsid w:val="0010371B"/>
    <w:rsid w:val="00110E07"/>
    <w:rsid w:val="00111244"/>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A6ABC"/>
    <w:rsid w:val="001B059C"/>
    <w:rsid w:val="001B6325"/>
    <w:rsid w:val="001C3B5C"/>
    <w:rsid w:val="001C4206"/>
    <w:rsid w:val="001D01E0"/>
    <w:rsid w:val="001D2A5A"/>
    <w:rsid w:val="001D4842"/>
    <w:rsid w:val="001D5661"/>
    <w:rsid w:val="001D60BD"/>
    <w:rsid w:val="001D656E"/>
    <w:rsid w:val="001E7365"/>
    <w:rsid w:val="001F0808"/>
    <w:rsid w:val="001F1CBD"/>
    <w:rsid w:val="001F26EE"/>
    <w:rsid w:val="001F2C9E"/>
    <w:rsid w:val="001F3D9A"/>
    <w:rsid w:val="00202CC2"/>
    <w:rsid w:val="00204451"/>
    <w:rsid w:val="00211649"/>
    <w:rsid w:val="00213774"/>
    <w:rsid w:val="002178A3"/>
    <w:rsid w:val="00221A02"/>
    <w:rsid w:val="002237E0"/>
    <w:rsid w:val="00224C9F"/>
    <w:rsid w:val="00225EF0"/>
    <w:rsid w:val="00232F83"/>
    <w:rsid w:val="0023739D"/>
    <w:rsid w:val="00241579"/>
    <w:rsid w:val="00252D90"/>
    <w:rsid w:val="0026154E"/>
    <w:rsid w:val="00261DBC"/>
    <w:rsid w:val="0026308E"/>
    <w:rsid w:val="002639EE"/>
    <w:rsid w:val="0026407F"/>
    <w:rsid w:val="00280091"/>
    <w:rsid w:val="00281074"/>
    <w:rsid w:val="00282704"/>
    <w:rsid w:val="0028469A"/>
    <w:rsid w:val="00294ACD"/>
    <w:rsid w:val="002A0C33"/>
    <w:rsid w:val="002A68A5"/>
    <w:rsid w:val="002A6D07"/>
    <w:rsid w:val="002C208F"/>
    <w:rsid w:val="002C61B8"/>
    <w:rsid w:val="002C7D0A"/>
    <w:rsid w:val="002D06C0"/>
    <w:rsid w:val="002D4D49"/>
    <w:rsid w:val="002E168D"/>
    <w:rsid w:val="002E3F46"/>
    <w:rsid w:val="002E5A1C"/>
    <w:rsid w:val="002E5DA0"/>
    <w:rsid w:val="002F5DAF"/>
    <w:rsid w:val="002F7506"/>
    <w:rsid w:val="002F767F"/>
    <w:rsid w:val="00301B1A"/>
    <w:rsid w:val="00302A40"/>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3629"/>
    <w:rsid w:val="00363A92"/>
    <w:rsid w:val="003640BF"/>
    <w:rsid w:val="00370BC8"/>
    <w:rsid w:val="003744B2"/>
    <w:rsid w:val="0037468A"/>
    <w:rsid w:val="00376EC8"/>
    <w:rsid w:val="003779A2"/>
    <w:rsid w:val="003910C2"/>
    <w:rsid w:val="00391F31"/>
    <w:rsid w:val="003920D6"/>
    <w:rsid w:val="003930B5"/>
    <w:rsid w:val="0039346D"/>
    <w:rsid w:val="00395831"/>
    <w:rsid w:val="003A20A3"/>
    <w:rsid w:val="003A65BE"/>
    <w:rsid w:val="003A76AA"/>
    <w:rsid w:val="003B79C8"/>
    <w:rsid w:val="003C27B8"/>
    <w:rsid w:val="003C3396"/>
    <w:rsid w:val="003C38B0"/>
    <w:rsid w:val="003C3970"/>
    <w:rsid w:val="003D27E5"/>
    <w:rsid w:val="003D33C8"/>
    <w:rsid w:val="003E37D5"/>
    <w:rsid w:val="003F1B7A"/>
    <w:rsid w:val="003F6789"/>
    <w:rsid w:val="00402847"/>
    <w:rsid w:val="00404105"/>
    <w:rsid w:val="0041001F"/>
    <w:rsid w:val="00415EA1"/>
    <w:rsid w:val="004174CA"/>
    <w:rsid w:val="0042280A"/>
    <w:rsid w:val="004237A3"/>
    <w:rsid w:val="00426BF5"/>
    <w:rsid w:val="0043717A"/>
    <w:rsid w:val="00437A8C"/>
    <w:rsid w:val="00440997"/>
    <w:rsid w:val="00442270"/>
    <w:rsid w:val="004438E2"/>
    <w:rsid w:val="004531BE"/>
    <w:rsid w:val="0045382F"/>
    <w:rsid w:val="004554A6"/>
    <w:rsid w:val="00455EFD"/>
    <w:rsid w:val="004638D2"/>
    <w:rsid w:val="004656DF"/>
    <w:rsid w:val="004671F7"/>
    <w:rsid w:val="004720AD"/>
    <w:rsid w:val="00472D41"/>
    <w:rsid w:val="00474D97"/>
    <w:rsid w:val="00475A0F"/>
    <w:rsid w:val="00477DEC"/>
    <w:rsid w:val="00484F46"/>
    <w:rsid w:val="004864ED"/>
    <w:rsid w:val="00486AD9"/>
    <w:rsid w:val="00490D26"/>
    <w:rsid w:val="00494717"/>
    <w:rsid w:val="00495916"/>
    <w:rsid w:val="00495C0C"/>
    <w:rsid w:val="004970A6"/>
    <w:rsid w:val="004A5483"/>
    <w:rsid w:val="004B0BD3"/>
    <w:rsid w:val="004B146B"/>
    <w:rsid w:val="004B7420"/>
    <w:rsid w:val="004B782E"/>
    <w:rsid w:val="004C0649"/>
    <w:rsid w:val="004C2599"/>
    <w:rsid w:val="004C3FE4"/>
    <w:rsid w:val="004C4354"/>
    <w:rsid w:val="004D0680"/>
    <w:rsid w:val="004D10BB"/>
    <w:rsid w:val="004D2120"/>
    <w:rsid w:val="004E162B"/>
    <w:rsid w:val="004F3C62"/>
    <w:rsid w:val="004F6221"/>
    <w:rsid w:val="00500C5A"/>
    <w:rsid w:val="005039EC"/>
    <w:rsid w:val="00504EA5"/>
    <w:rsid w:val="00510730"/>
    <w:rsid w:val="005117E8"/>
    <w:rsid w:val="00511FB7"/>
    <w:rsid w:val="005136E5"/>
    <w:rsid w:val="00513C80"/>
    <w:rsid w:val="00517929"/>
    <w:rsid w:val="00524420"/>
    <w:rsid w:val="00524D9B"/>
    <w:rsid w:val="00527E1B"/>
    <w:rsid w:val="00534253"/>
    <w:rsid w:val="00535949"/>
    <w:rsid w:val="005466CC"/>
    <w:rsid w:val="00551E79"/>
    <w:rsid w:val="005520BF"/>
    <w:rsid w:val="00553226"/>
    <w:rsid w:val="005634A9"/>
    <w:rsid w:val="00565828"/>
    <w:rsid w:val="00566DD9"/>
    <w:rsid w:val="00571E92"/>
    <w:rsid w:val="005736ED"/>
    <w:rsid w:val="00573844"/>
    <w:rsid w:val="00585E17"/>
    <w:rsid w:val="00586820"/>
    <w:rsid w:val="005909A1"/>
    <w:rsid w:val="005942B8"/>
    <w:rsid w:val="00596905"/>
    <w:rsid w:val="005A0C5C"/>
    <w:rsid w:val="005A1FEB"/>
    <w:rsid w:val="005A55DE"/>
    <w:rsid w:val="005A738C"/>
    <w:rsid w:val="005B4BB0"/>
    <w:rsid w:val="005B6A11"/>
    <w:rsid w:val="005B6CDC"/>
    <w:rsid w:val="005B779A"/>
    <w:rsid w:val="005C16E1"/>
    <w:rsid w:val="005C1D0C"/>
    <w:rsid w:val="005C22DB"/>
    <w:rsid w:val="005C2A25"/>
    <w:rsid w:val="005C7AD7"/>
    <w:rsid w:val="005D1098"/>
    <w:rsid w:val="005D257C"/>
    <w:rsid w:val="005D500E"/>
    <w:rsid w:val="005D7EC0"/>
    <w:rsid w:val="005E15BC"/>
    <w:rsid w:val="005E1DDA"/>
    <w:rsid w:val="005E559D"/>
    <w:rsid w:val="005F6ADC"/>
    <w:rsid w:val="005F7010"/>
    <w:rsid w:val="00600907"/>
    <w:rsid w:val="00604B9F"/>
    <w:rsid w:val="00606DDC"/>
    <w:rsid w:val="00614C94"/>
    <w:rsid w:val="006154E9"/>
    <w:rsid w:val="0062645B"/>
    <w:rsid w:val="00627FCA"/>
    <w:rsid w:val="006346DE"/>
    <w:rsid w:val="00641396"/>
    <w:rsid w:val="00641BD9"/>
    <w:rsid w:val="00641F26"/>
    <w:rsid w:val="00641FC6"/>
    <w:rsid w:val="00655A1A"/>
    <w:rsid w:val="00656231"/>
    <w:rsid w:val="006569E7"/>
    <w:rsid w:val="00656E2F"/>
    <w:rsid w:val="00663C1B"/>
    <w:rsid w:val="0067244A"/>
    <w:rsid w:val="006726D4"/>
    <w:rsid w:val="00674D56"/>
    <w:rsid w:val="0068079A"/>
    <w:rsid w:val="00685873"/>
    <w:rsid w:val="006861CA"/>
    <w:rsid w:val="006A3A62"/>
    <w:rsid w:val="006B0C26"/>
    <w:rsid w:val="006B2EC4"/>
    <w:rsid w:val="006B3514"/>
    <w:rsid w:val="006B4007"/>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48B3"/>
    <w:rsid w:val="0072087F"/>
    <w:rsid w:val="00721A04"/>
    <w:rsid w:val="007234A6"/>
    <w:rsid w:val="00726509"/>
    <w:rsid w:val="00731557"/>
    <w:rsid w:val="00732099"/>
    <w:rsid w:val="00732CFA"/>
    <w:rsid w:val="00732F42"/>
    <w:rsid w:val="0073340F"/>
    <w:rsid w:val="0073697C"/>
    <w:rsid w:val="007432F2"/>
    <w:rsid w:val="00761EC8"/>
    <w:rsid w:val="00762E19"/>
    <w:rsid w:val="00764071"/>
    <w:rsid w:val="0076551C"/>
    <w:rsid w:val="00770EFD"/>
    <w:rsid w:val="007765B7"/>
    <w:rsid w:val="007777B9"/>
    <w:rsid w:val="00782C18"/>
    <w:rsid w:val="00787903"/>
    <w:rsid w:val="007917C8"/>
    <w:rsid w:val="007A3758"/>
    <w:rsid w:val="007A5EF8"/>
    <w:rsid w:val="007B1376"/>
    <w:rsid w:val="007B1949"/>
    <w:rsid w:val="007B2DAC"/>
    <w:rsid w:val="007B6FA6"/>
    <w:rsid w:val="007C3E8C"/>
    <w:rsid w:val="007C6D1A"/>
    <w:rsid w:val="007C6F0C"/>
    <w:rsid w:val="007D64F2"/>
    <w:rsid w:val="007E3144"/>
    <w:rsid w:val="007E3F26"/>
    <w:rsid w:val="007E6464"/>
    <w:rsid w:val="007F1D63"/>
    <w:rsid w:val="007F7FAA"/>
    <w:rsid w:val="0080310D"/>
    <w:rsid w:val="00805C40"/>
    <w:rsid w:val="00822D5E"/>
    <w:rsid w:val="00825AE3"/>
    <w:rsid w:val="00841455"/>
    <w:rsid w:val="00841612"/>
    <w:rsid w:val="00846A7A"/>
    <w:rsid w:val="00854B87"/>
    <w:rsid w:val="008643DF"/>
    <w:rsid w:val="00866823"/>
    <w:rsid w:val="00870D69"/>
    <w:rsid w:val="008721AA"/>
    <w:rsid w:val="0087729C"/>
    <w:rsid w:val="0088367C"/>
    <w:rsid w:val="00895724"/>
    <w:rsid w:val="008A1F7B"/>
    <w:rsid w:val="008B1666"/>
    <w:rsid w:val="008B6430"/>
    <w:rsid w:val="008C1A8A"/>
    <w:rsid w:val="008C42D9"/>
    <w:rsid w:val="008C54D6"/>
    <w:rsid w:val="008C6B07"/>
    <w:rsid w:val="008E3E66"/>
    <w:rsid w:val="008E5DCA"/>
    <w:rsid w:val="008F344E"/>
    <w:rsid w:val="008F7355"/>
    <w:rsid w:val="00903A14"/>
    <w:rsid w:val="009054AC"/>
    <w:rsid w:val="009162D7"/>
    <w:rsid w:val="00917CED"/>
    <w:rsid w:val="009222F3"/>
    <w:rsid w:val="009224B4"/>
    <w:rsid w:val="0092309F"/>
    <w:rsid w:val="009267D2"/>
    <w:rsid w:val="00930AD6"/>
    <w:rsid w:val="009417EF"/>
    <w:rsid w:val="00941920"/>
    <w:rsid w:val="00950110"/>
    <w:rsid w:val="00950B61"/>
    <w:rsid w:val="0095382B"/>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276E"/>
    <w:rsid w:val="00A030D4"/>
    <w:rsid w:val="00A20DC3"/>
    <w:rsid w:val="00A23170"/>
    <w:rsid w:val="00A2358E"/>
    <w:rsid w:val="00A248FD"/>
    <w:rsid w:val="00A25372"/>
    <w:rsid w:val="00A2550D"/>
    <w:rsid w:val="00A25C59"/>
    <w:rsid w:val="00A27933"/>
    <w:rsid w:val="00A3344A"/>
    <w:rsid w:val="00A36623"/>
    <w:rsid w:val="00A45075"/>
    <w:rsid w:val="00A46941"/>
    <w:rsid w:val="00A515D5"/>
    <w:rsid w:val="00A515DC"/>
    <w:rsid w:val="00A51DD5"/>
    <w:rsid w:val="00A6380A"/>
    <w:rsid w:val="00A64AE8"/>
    <w:rsid w:val="00A65695"/>
    <w:rsid w:val="00A75D02"/>
    <w:rsid w:val="00A84775"/>
    <w:rsid w:val="00A855E1"/>
    <w:rsid w:val="00A90AA1"/>
    <w:rsid w:val="00A912B4"/>
    <w:rsid w:val="00A92168"/>
    <w:rsid w:val="00AA3769"/>
    <w:rsid w:val="00AB0FE0"/>
    <w:rsid w:val="00AB3ACE"/>
    <w:rsid w:val="00AB64E7"/>
    <w:rsid w:val="00AC0571"/>
    <w:rsid w:val="00AD2131"/>
    <w:rsid w:val="00AD28D4"/>
    <w:rsid w:val="00AD4F01"/>
    <w:rsid w:val="00AD532C"/>
    <w:rsid w:val="00AD6271"/>
    <w:rsid w:val="00AE59A9"/>
    <w:rsid w:val="00AE7AE2"/>
    <w:rsid w:val="00AF4C59"/>
    <w:rsid w:val="00B02E02"/>
    <w:rsid w:val="00B0477A"/>
    <w:rsid w:val="00B05A1B"/>
    <w:rsid w:val="00B06619"/>
    <w:rsid w:val="00B14222"/>
    <w:rsid w:val="00B22D73"/>
    <w:rsid w:val="00B31E38"/>
    <w:rsid w:val="00B51BFA"/>
    <w:rsid w:val="00B53249"/>
    <w:rsid w:val="00B61012"/>
    <w:rsid w:val="00B65BB0"/>
    <w:rsid w:val="00B65D21"/>
    <w:rsid w:val="00B660DD"/>
    <w:rsid w:val="00B66265"/>
    <w:rsid w:val="00B72BCE"/>
    <w:rsid w:val="00B873B9"/>
    <w:rsid w:val="00B95D3D"/>
    <w:rsid w:val="00BA11CD"/>
    <w:rsid w:val="00BA1F02"/>
    <w:rsid w:val="00BA4282"/>
    <w:rsid w:val="00BA4BAA"/>
    <w:rsid w:val="00BC28E4"/>
    <w:rsid w:val="00BC4576"/>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16F5"/>
    <w:rsid w:val="00C35659"/>
    <w:rsid w:val="00C42B30"/>
    <w:rsid w:val="00C4776D"/>
    <w:rsid w:val="00C5190C"/>
    <w:rsid w:val="00C557A9"/>
    <w:rsid w:val="00C56264"/>
    <w:rsid w:val="00C6129B"/>
    <w:rsid w:val="00C61C81"/>
    <w:rsid w:val="00C642E2"/>
    <w:rsid w:val="00C6439E"/>
    <w:rsid w:val="00C6612E"/>
    <w:rsid w:val="00C708DB"/>
    <w:rsid w:val="00C748CE"/>
    <w:rsid w:val="00C805B3"/>
    <w:rsid w:val="00C8095A"/>
    <w:rsid w:val="00C84C1A"/>
    <w:rsid w:val="00C8615F"/>
    <w:rsid w:val="00C877E3"/>
    <w:rsid w:val="00C91CB3"/>
    <w:rsid w:val="00C9203F"/>
    <w:rsid w:val="00C923BC"/>
    <w:rsid w:val="00C927F5"/>
    <w:rsid w:val="00CA62EB"/>
    <w:rsid w:val="00CB1F54"/>
    <w:rsid w:val="00CC1F30"/>
    <w:rsid w:val="00CC594A"/>
    <w:rsid w:val="00CC6D09"/>
    <w:rsid w:val="00CD2FD1"/>
    <w:rsid w:val="00CD4121"/>
    <w:rsid w:val="00CD6A8A"/>
    <w:rsid w:val="00CD7E3B"/>
    <w:rsid w:val="00CE311C"/>
    <w:rsid w:val="00CE3234"/>
    <w:rsid w:val="00CE3243"/>
    <w:rsid w:val="00CE6299"/>
    <w:rsid w:val="00CE64CC"/>
    <w:rsid w:val="00CF0F44"/>
    <w:rsid w:val="00D11DE3"/>
    <w:rsid w:val="00D12F2F"/>
    <w:rsid w:val="00D14250"/>
    <w:rsid w:val="00D1480C"/>
    <w:rsid w:val="00D16EFD"/>
    <w:rsid w:val="00D20E15"/>
    <w:rsid w:val="00D25AC1"/>
    <w:rsid w:val="00D26D4A"/>
    <w:rsid w:val="00D33E04"/>
    <w:rsid w:val="00D43BF9"/>
    <w:rsid w:val="00D556BD"/>
    <w:rsid w:val="00D56D68"/>
    <w:rsid w:val="00D64EDF"/>
    <w:rsid w:val="00D65CA0"/>
    <w:rsid w:val="00D721BC"/>
    <w:rsid w:val="00D8060D"/>
    <w:rsid w:val="00D80C56"/>
    <w:rsid w:val="00D81879"/>
    <w:rsid w:val="00D951EE"/>
    <w:rsid w:val="00D96E49"/>
    <w:rsid w:val="00DA340D"/>
    <w:rsid w:val="00DA3E0A"/>
    <w:rsid w:val="00DA73AF"/>
    <w:rsid w:val="00DB3D96"/>
    <w:rsid w:val="00DC3FFD"/>
    <w:rsid w:val="00DC7E63"/>
    <w:rsid w:val="00DD2165"/>
    <w:rsid w:val="00DD2A18"/>
    <w:rsid w:val="00DD5008"/>
    <w:rsid w:val="00DD5579"/>
    <w:rsid w:val="00DD706F"/>
    <w:rsid w:val="00DE40FF"/>
    <w:rsid w:val="00DE4123"/>
    <w:rsid w:val="00DE630E"/>
    <w:rsid w:val="00DF235F"/>
    <w:rsid w:val="00E03C82"/>
    <w:rsid w:val="00E07331"/>
    <w:rsid w:val="00E07A50"/>
    <w:rsid w:val="00E10817"/>
    <w:rsid w:val="00E14DDE"/>
    <w:rsid w:val="00E15A21"/>
    <w:rsid w:val="00E172B4"/>
    <w:rsid w:val="00E20292"/>
    <w:rsid w:val="00E23784"/>
    <w:rsid w:val="00E24845"/>
    <w:rsid w:val="00E264FA"/>
    <w:rsid w:val="00E276C5"/>
    <w:rsid w:val="00E405C4"/>
    <w:rsid w:val="00E45C34"/>
    <w:rsid w:val="00E50B36"/>
    <w:rsid w:val="00E550BB"/>
    <w:rsid w:val="00E6011D"/>
    <w:rsid w:val="00E72C24"/>
    <w:rsid w:val="00E72C98"/>
    <w:rsid w:val="00E87298"/>
    <w:rsid w:val="00E96DE1"/>
    <w:rsid w:val="00EA2B27"/>
    <w:rsid w:val="00EA79EB"/>
    <w:rsid w:val="00EB1C18"/>
    <w:rsid w:val="00EB5FAA"/>
    <w:rsid w:val="00EB6BCF"/>
    <w:rsid w:val="00EC094D"/>
    <w:rsid w:val="00EC37FA"/>
    <w:rsid w:val="00ED0213"/>
    <w:rsid w:val="00ED19EA"/>
    <w:rsid w:val="00ED52CF"/>
    <w:rsid w:val="00ED67C0"/>
    <w:rsid w:val="00EE1F16"/>
    <w:rsid w:val="00EE5076"/>
    <w:rsid w:val="00EF19D0"/>
    <w:rsid w:val="00EF45D4"/>
    <w:rsid w:val="00EF7034"/>
    <w:rsid w:val="00EF7B77"/>
    <w:rsid w:val="00F008A6"/>
    <w:rsid w:val="00F05D3F"/>
    <w:rsid w:val="00F06414"/>
    <w:rsid w:val="00F07230"/>
    <w:rsid w:val="00F121D1"/>
    <w:rsid w:val="00F17143"/>
    <w:rsid w:val="00F17FBF"/>
    <w:rsid w:val="00F23D1D"/>
    <w:rsid w:val="00F2676D"/>
    <w:rsid w:val="00F30DF8"/>
    <w:rsid w:val="00F30FE7"/>
    <w:rsid w:val="00F33D66"/>
    <w:rsid w:val="00F4603A"/>
    <w:rsid w:val="00F551FA"/>
    <w:rsid w:val="00F61BF5"/>
    <w:rsid w:val="00F7083E"/>
    <w:rsid w:val="00F70F26"/>
    <w:rsid w:val="00F712CC"/>
    <w:rsid w:val="00F71813"/>
    <w:rsid w:val="00F7297A"/>
    <w:rsid w:val="00F73252"/>
    <w:rsid w:val="00F737F9"/>
    <w:rsid w:val="00F82784"/>
    <w:rsid w:val="00F833F8"/>
    <w:rsid w:val="00F8490F"/>
    <w:rsid w:val="00F858FE"/>
    <w:rsid w:val="00F95398"/>
    <w:rsid w:val="00F96224"/>
    <w:rsid w:val="00FA1901"/>
    <w:rsid w:val="00FA2980"/>
    <w:rsid w:val="00FA57A6"/>
    <w:rsid w:val="00FA5866"/>
    <w:rsid w:val="00FA5EF0"/>
    <w:rsid w:val="00FB11D5"/>
    <w:rsid w:val="00FB1436"/>
    <w:rsid w:val="00FB1D46"/>
    <w:rsid w:val="00FC04E2"/>
    <w:rsid w:val="00FC1140"/>
    <w:rsid w:val="00FC3688"/>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1"/>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 w:type="paragraph" w:customStyle="1" w:styleId="bullets">
    <w:name w:val="bullets"/>
    <w:basedOn w:val="ListParagraph"/>
    <w:link w:val="bulletsChar"/>
    <w:qFormat/>
    <w:rsid w:val="00FC3688"/>
    <w:pPr>
      <w:numPr>
        <w:numId w:val="21"/>
      </w:numPr>
      <w:spacing w:after="0" w:line="240" w:lineRule="auto"/>
    </w:pPr>
    <w:rPr>
      <w:rFonts w:asciiTheme="minorHAnsi" w:hAnsiTheme="minorHAnsi"/>
    </w:rPr>
  </w:style>
  <w:style w:type="character" w:customStyle="1" w:styleId="bulletsChar">
    <w:name w:val="bullets Char"/>
    <w:link w:val="bullets"/>
    <w:rsid w:val="00FC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s://eur-lex.europa.eu/legal-content/HR/TXT/PDF/?uri=CELEX:52022XC1028(03)&amp;from=HR%20"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A1B6-0B64-4AB7-9AA0-6F8740B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10726</Characters>
  <Application>Microsoft Office Word</Application>
  <DocSecurity>0</DocSecurity>
  <Lines>89</Lines>
  <Paragraphs>25</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tpodnar</cp:lastModifiedBy>
  <cp:revision>2</cp:revision>
  <cp:lastPrinted>2017-04-20T09:19:00Z</cp:lastPrinted>
  <dcterms:created xsi:type="dcterms:W3CDTF">2023-01-11T10:09:00Z</dcterms:created>
  <dcterms:modified xsi:type="dcterms:W3CDTF">2023-01-11T10:09:00Z</dcterms:modified>
</cp:coreProperties>
</file>