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lastRenderedPageBreak/>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w:t>
      </w:r>
      <w:r w:rsidR="00CB4DBF">
        <w:rPr>
          <w:rFonts w:ascii="Times New Roman" w:eastAsia="Times New Roman" w:hAnsi="Times New Roman" w:cs="Times New Roman"/>
          <w:sz w:val="24"/>
          <w:szCs w:val="24"/>
          <w:lang w:eastAsia="hr-HR"/>
        </w:rPr>
        <w:lastRenderedPageBreak/>
        <w:t xml:space="preserve">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C299A89" w14:textId="77777777" w:rsidR="00411076" w:rsidRDefault="0041107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AA7005D" w14:textId="57C142B9"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w:t>
            </w:r>
            <w:r>
              <w:rPr>
                <w:rFonts w:ascii="Times New Roman" w:eastAsia="Calibri" w:hAnsi="Times New Roman" w:cs="Times New Roman"/>
                <w:sz w:val="20"/>
                <w:szCs w:val="20"/>
              </w:rPr>
              <w:lastRenderedPageBreak/>
              <w:t>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lastRenderedPageBreak/>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411076">
        <w:trPr>
          <w:trHeight w:val="43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61A8EF93" w:rsidR="0096073E" w:rsidRPr="0041107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lastRenderedPageBreak/>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00411076">
              <w:rPr>
                <w:rFonts w:ascii="Times New Roman" w:eastAsia="Calibri" w:hAnsi="Times New Roman" w:cs="Times New Roman"/>
                <w:sz w:val="20"/>
                <w:szCs w:val="20"/>
              </w:rPr>
              <w:t>.</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6FD6C1C5" w14:textId="77777777" w:rsidR="00FC52CB" w:rsidRDefault="00FC52CB" w:rsidP="00B65BBD">
            <w:pPr>
              <w:autoSpaceDE w:val="0"/>
              <w:autoSpaceDN w:val="0"/>
              <w:adjustRightInd w:val="0"/>
              <w:spacing w:before="0" w:after="0"/>
              <w:jc w:val="both"/>
              <w:rPr>
                <w:rFonts w:ascii="Times New Roman" w:eastAsia="Calibri" w:hAnsi="Times New Roman" w:cs="Times New Roman"/>
                <w:sz w:val="20"/>
                <w:szCs w:val="20"/>
              </w:rPr>
            </w:pPr>
          </w:p>
          <w:p w14:paraId="66EBF152"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3C379CF4"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70C773A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5AC7ED1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14D68D58"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21ED69DF" w14:textId="080076B4" w:rsidR="00AC1537" w:rsidRPr="0062112C" w:rsidRDefault="00AC1537"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lastRenderedPageBreak/>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w:t>
            </w:r>
            <w:r w:rsidRPr="00AD39EC">
              <w:rPr>
                <w:rFonts w:ascii="Times New Roman" w:eastAsia="Calibri" w:hAnsi="Times New Roman" w:cs="Times New Roman"/>
                <w:sz w:val="20"/>
                <w:szCs w:val="20"/>
              </w:rPr>
              <w:lastRenderedPageBreak/>
              <w:t>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 xml:space="preserve">1. izmjenom se unose uvjeti koji bi, da su bili dio prvotnog postupka nabave, dopustili prihvaćanje drugih natjecatelja od onih koji su prvotno odabrani ili prihvaćanje ponude različite od ponude koja je izvorno </w:t>
            </w:r>
            <w:r w:rsidRPr="008C3D84">
              <w:rPr>
                <w:rFonts w:ascii="Times New Roman" w:eastAsia="Calibri" w:hAnsi="Times New Roman" w:cs="Times New Roman"/>
                <w:sz w:val="20"/>
                <w:szCs w:val="20"/>
              </w:rPr>
              <w:lastRenderedPageBreak/>
              <w:t>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lastRenderedPageBreak/>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w:t>
            </w:r>
            <w:r w:rsidRPr="00811D7C">
              <w:rPr>
                <w:rFonts w:ascii="Times New Roman" w:hAnsi="Times New Roman"/>
                <w:sz w:val="20"/>
                <w:szCs w:val="20"/>
              </w:rPr>
              <w:lastRenderedPageBreak/>
              <w:t>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7FD30242" w14:textId="77777777" w:rsidR="00AC1537" w:rsidRDefault="00AC1537">
      <w:pPr>
        <w:rPr>
          <w:rFonts w:ascii="Times New Roman" w:eastAsia="Calibri" w:hAnsi="Times New Roman" w:cs="Times New Roman"/>
          <w:b/>
        </w:rPr>
      </w:pPr>
      <w:r>
        <w:rPr>
          <w:rFonts w:ascii="Times New Roman" w:eastAsia="Calibri" w:hAnsi="Times New Roman" w:cs="Times New Roman"/>
          <w:b/>
        </w:rPr>
        <w:br w:type="page"/>
      </w:r>
    </w:p>
    <w:p w14:paraId="05179C2B" w14:textId="0BEC35A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lastRenderedPageBreak/>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411076" w:rsidRDefault="00411076" w:rsidP="0056094F">
      <w:pPr>
        <w:spacing w:before="0" w:after="0"/>
      </w:pPr>
      <w:r>
        <w:separator/>
      </w:r>
    </w:p>
  </w:endnote>
  <w:endnote w:type="continuationSeparator" w:id="0">
    <w:p w14:paraId="55B11030" w14:textId="77777777" w:rsidR="00411076" w:rsidRDefault="00411076" w:rsidP="0056094F">
      <w:pPr>
        <w:spacing w:before="0" w:after="0"/>
      </w:pPr>
      <w:r>
        <w:continuationSeparator/>
      </w:r>
    </w:p>
  </w:endnote>
  <w:endnote w:type="continuationNotice" w:id="1">
    <w:p w14:paraId="5B3BCB72" w14:textId="77777777" w:rsidR="00411076" w:rsidRDefault="00411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7CFC" w14:textId="77777777" w:rsidR="00A92DFD" w:rsidRDefault="00A92DF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411076" w:rsidRDefault="00411076">
    <w:pPr>
      <w:pStyle w:val="Podnoje"/>
      <w:jc w:val="center"/>
      <w:rPr>
        <w:rFonts w:ascii="Times New Roman" w:hAnsi="Times New Roman" w:cs="Times New Roman"/>
        <w:sz w:val="18"/>
        <w:szCs w:val="18"/>
      </w:rPr>
    </w:pPr>
  </w:p>
  <w:p w14:paraId="5789A5E2" w14:textId="12DBC091" w:rsidR="00411076" w:rsidRPr="00EF5861" w:rsidRDefault="00411076">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A92DFD">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411076" w:rsidRDefault="0041107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3DDB" w14:textId="77777777" w:rsidR="00A92DFD" w:rsidRDefault="00A92DF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411076" w:rsidRDefault="00411076" w:rsidP="0056094F">
      <w:pPr>
        <w:spacing w:before="0" w:after="0"/>
      </w:pPr>
      <w:r>
        <w:separator/>
      </w:r>
    </w:p>
  </w:footnote>
  <w:footnote w:type="continuationSeparator" w:id="0">
    <w:p w14:paraId="5AF5E840" w14:textId="77777777" w:rsidR="00411076" w:rsidRDefault="00411076" w:rsidP="0056094F">
      <w:pPr>
        <w:spacing w:before="0" w:after="0"/>
      </w:pPr>
      <w:r>
        <w:continuationSeparator/>
      </w:r>
    </w:p>
  </w:footnote>
  <w:footnote w:type="continuationNotice" w:id="1">
    <w:p w14:paraId="5732EF33" w14:textId="77777777" w:rsidR="00411076" w:rsidRDefault="00411076">
      <w:pPr>
        <w:spacing w:before="0" w:after="0"/>
      </w:pPr>
    </w:p>
  </w:footnote>
  <w:footnote w:id="2">
    <w:p w14:paraId="64E60057" w14:textId="77777777" w:rsidR="00411076" w:rsidRPr="00A9738A" w:rsidRDefault="00411076"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411076" w:rsidRPr="00310F62" w:rsidRDefault="00411076"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411076" w:rsidRPr="00C4593D" w:rsidRDefault="00411076"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411076" w:rsidRPr="005B25F1" w:rsidRDefault="00411076"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411076" w:rsidRPr="00DF2800" w:rsidRDefault="00411076"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411076" w:rsidRPr="002C6F65" w:rsidRDefault="00411076">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411076" w:rsidRPr="008F691C" w:rsidRDefault="00411076"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411076" w:rsidRPr="000A3444" w:rsidRDefault="00411076"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411076" w:rsidRPr="00460D22" w:rsidRDefault="00411076"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411076" w:rsidRPr="00460D22" w:rsidRDefault="00411076" w:rsidP="00460D22">
      <w:pPr>
        <w:pStyle w:val="Tekstfusnote"/>
        <w:jc w:val="both"/>
        <w:rPr>
          <w:lang w:val="hr-HR"/>
        </w:rPr>
      </w:pPr>
      <w:r w:rsidRPr="00460D22">
        <w:rPr>
          <w:lang w:val="hr-HR"/>
        </w:rPr>
        <w:t>a) vrijednost izmjena je ispod sljedećih vrijednosti:</w:t>
      </w:r>
    </w:p>
    <w:p w14:paraId="083A3D91" w14:textId="77777777" w:rsidR="00411076" w:rsidRPr="00460D22" w:rsidRDefault="00411076" w:rsidP="00460D22">
      <w:pPr>
        <w:pStyle w:val="Tekstfusnote"/>
        <w:jc w:val="both"/>
        <w:rPr>
          <w:lang w:val="hr-HR"/>
        </w:rPr>
      </w:pPr>
      <w:r w:rsidRPr="00460D22">
        <w:rPr>
          <w:lang w:val="hr-HR"/>
        </w:rPr>
        <w:t>(i) pragovi utvrđeni u članku 4. Direktive 2014/24 / EU; i</w:t>
      </w:r>
    </w:p>
    <w:p w14:paraId="3D58AADC" w14:textId="77777777" w:rsidR="00411076" w:rsidRPr="00460D22" w:rsidRDefault="00411076"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411076" w:rsidRPr="001C1AA6" w:rsidRDefault="00411076" w:rsidP="00460D22">
      <w:pPr>
        <w:pStyle w:val="Tekstfusnote"/>
        <w:jc w:val="both"/>
      </w:pPr>
      <w:r w:rsidRPr="00460D22">
        <w:rPr>
          <w:lang w:val="hr-HR"/>
        </w:rPr>
        <w:t>b) izmjena ne mijenja ukupnu prirodu, ugovor ili okvirni sporazum</w:t>
      </w:r>
    </w:p>
  </w:footnote>
  <w:footnote w:id="11">
    <w:p w14:paraId="3B6ACEBD" w14:textId="11E28AC2" w:rsidR="00411076" w:rsidRPr="00460D22" w:rsidRDefault="00411076"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411076" w:rsidRPr="004C1A12" w:rsidRDefault="00411076"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411076" w:rsidRPr="000266C6" w:rsidRDefault="00411076"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411076" w:rsidRPr="002C2F76" w:rsidRDefault="00411076"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411076" w:rsidRDefault="00411076"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411076" w:rsidRPr="0098227B" w:rsidRDefault="00411076"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1AA2" w14:textId="77777777" w:rsidR="00A92DFD" w:rsidRDefault="00A92DF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05F" w14:textId="1FCE6F3C" w:rsidR="00411076" w:rsidRDefault="00411076" w:rsidP="00411076">
    <w:pPr>
      <w:pStyle w:val="Zaglavlje"/>
    </w:pPr>
    <w:r>
      <w:t>PRILOG 1.3</w:t>
    </w:r>
    <w:bookmarkStart w:id="1" w:name="_GoBack"/>
    <w:bookmarkEnd w:id="1"/>
    <w:r w:rsidRPr="00A92DFD">
      <w:t>.</w:t>
    </w:r>
    <w:r w:rsidR="000130C9" w:rsidRPr="00A92DFD">
      <w:t xml:space="preserve"> – 1. </w:t>
    </w:r>
    <w:r w:rsidR="000130C9" w:rsidRPr="00A92DFD">
      <w:t>izmjena</w:t>
    </w:r>
    <w:r w:rsidR="00A92DFD" w:rsidRPr="00A92DFD">
      <w:t xml:space="preserve"> Poziva</w:t>
    </w:r>
  </w:p>
  <w:p w14:paraId="03868CAA" w14:textId="77777777" w:rsidR="00411076" w:rsidRDefault="0041107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FB0D" w14:textId="77777777" w:rsidR="00A92DFD" w:rsidRDefault="00A92DF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0C9"/>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076"/>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2DFD"/>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1537"/>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B7E02"/>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6937-3AD6-495C-8184-8073BE82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10239</Words>
  <Characters>58364</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2022-06-02T11:51:00Z</dcterms:modified>
</cp:coreProperties>
</file>