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07C1CA2F" w14:textId="77777777" w:rsidR="00D65679" w:rsidRDefault="00D65679" w:rsidP="00D65679">
      <w:pPr>
        <w:jc w:val="center"/>
        <w:rPr>
          <w:rFonts w:ascii="Times New Roman" w:hAnsi="Times New Roman" w:cs="Times New Roman"/>
          <w:b/>
          <w:bCs/>
          <w:sz w:val="28"/>
          <w:szCs w:val="28"/>
        </w:rPr>
      </w:pPr>
      <w:r w:rsidRPr="00CD7728">
        <w:rPr>
          <w:rFonts w:ascii="Times New Roman" w:hAnsi="Times New Roman" w:cs="Times New Roman"/>
          <w:b/>
          <w:bCs/>
          <w:sz w:val="28"/>
          <w:szCs w:val="28"/>
        </w:rPr>
        <w:t>Poziv na dodjelu bespovratnih sredstava</w:t>
      </w:r>
    </w:p>
    <w:p w14:paraId="791E05F9" w14:textId="77777777" w:rsidR="00D65679" w:rsidRPr="00CD7728" w:rsidRDefault="00D65679" w:rsidP="00D65679">
      <w:pPr>
        <w:jc w:val="center"/>
        <w:rPr>
          <w:rFonts w:ascii="Times New Roman" w:hAnsi="Times New Roman" w:cs="Times New Roman"/>
          <w:b/>
          <w:sz w:val="28"/>
          <w:szCs w:val="28"/>
        </w:rPr>
      </w:pPr>
    </w:p>
    <w:p w14:paraId="30761995" w14:textId="77777777" w:rsidR="00D65679" w:rsidRPr="00D65679" w:rsidRDefault="00D65679" w:rsidP="00D65679">
      <w:pPr>
        <w:jc w:val="center"/>
        <w:rPr>
          <w:rFonts w:ascii="Times New Roman" w:eastAsia="Times New Roman" w:hAnsi="Times New Roman" w:cs="Times New Roman"/>
          <w:b/>
          <w:bCs/>
          <w:sz w:val="48"/>
          <w:szCs w:val="48"/>
          <w:u w:val="single"/>
          <w:lang w:val="hr"/>
        </w:rPr>
      </w:pPr>
      <w:r w:rsidRPr="00D65679">
        <w:rPr>
          <w:rFonts w:ascii="Times New Roman" w:eastAsia="Times New Roman" w:hAnsi="Times New Roman" w:cs="Times New Roman"/>
          <w:b/>
          <w:bCs/>
          <w:sz w:val="48"/>
          <w:szCs w:val="48"/>
          <w:u w:val="single"/>
          <w:lang w:val="hr"/>
        </w:rPr>
        <w:t>Energetska obnova zgrada sa statusom kulturnog dobra</w:t>
      </w:r>
    </w:p>
    <w:p w14:paraId="3DC03EEC" w14:textId="77777777" w:rsidR="00D65679" w:rsidRPr="00931117" w:rsidRDefault="00D65679" w:rsidP="00D65679">
      <w:pPr>
        <w:spacing w:after="0" w:line="240" w:lineRule="auto"/>
        <w:jc w:val="center"/>
        <w:rPr>
          <w:rFonts w:ascii="Times New Roman" w:hAnsi="Times New Roman" w:cs="Times New Roman"/>
          <w:b/>
          <w:sz w:val="24"/>
          <w:szCs w:val="24"/>
        </w:rPr>
      </w:pPr>
    </w:p>
    <w:p w14:paraId="133ABCC1" w14:textId="17485D2E" w:rsidR="00D65679" w:rsidRDefault="00D65679" w:rsidP="00D65679">
      <w:pPr>
        <w:spacing w:after="0" w:line="240" w:lineRule="auto"/>
        <w:jc w:val="center"/>
        <w:rPr>
          <w:rFonts w:ascii="Times New Roman" w:hAnsi="Times New Roman" w:cs="Times New Roman"/>
          <w:b/>
          <w:i/>
          <w:sz w:val="24"/>
          <w:szCs w:val="24"/>
        </w:rPr>
      </w:pPr>
      <w:r w:rsidRPr="004866B2">
        <w:rPr>
          <w:rFonts w:ascii="Times New Roman" w:hAnsi="Times New Roman" w:cs="Times New Roman"/>
          <w:b/>
          <w:sz w:val="24"/>
          <w:szCs w:val="24"/>
        </w:rPr>
        <w:t>(</w:t>
      </w:r>
      <w:r w:rsidRPr="004866B2">
        <w:rPr>
          <w:rFonts w:ascii="Times New Roman" w:hAnsi="Times New Roman" w:cs="Times New Roman"/>
          <w:b/>
          <w:i/>
          <w:sz w:val="24"/>
          <w:szCs w:val="24"/>
        </w:rPr>
        <w:t>referentni broj:</w:t>
      </w:r>
      <w:r w:rsidR="00D113B5" w:rsidRPr="00D113B5">
        <w:t xml:space="preserve"> </w:t>
      </w:r>
      <w:r w:rsidR="00D113B5" w:rsidRPr="00D113B5">
        <w:rPr>
          <w:rFonts w:ascii="Times New Roman" w:hAnsi="Times New Roman" w:cs="Times New Roman"/>
          <w:b/>
          <w:i/>
          <w:sz w:val="24"/>
          <w:szCs w:val="24"/>
        </w:rPr>
        <w:t>NPOO.C6.1.R1-I3.01</w:t>
      </w:r>
      <w:r w:rsidR="00EE4CD5">
        <w:rPr>
          <w:rFonts w:ascii="Times New Roman" w:hAnsi="Times New Roman" w:cs="Times New Roman"/>
          <w:b/>
          <w:i/>
          <w:sz w:val="24"/>
          <w:szCs w:val="24"/>
        </w:rPr>
        <w:t>)</w:t>
      </w:r>
      <w:r w:rsidRPr="004866B2">
        <w:rPr>
          <w:rFonts w:ascii="Times New Roman" w:hAnsi="Times New Roman" w:cs="Times New Roman"/>
          <w:b/>
          <w:i/>
          <w:sz w:val="24"/>
          <w:szCs w:val="24"/>
        </w:rPr>
        <w:t xml:space="preserve"> </w:t>
      </w:r>
    </w:p>
    <w:p w14:paraId="4F67E37F" w14:textId="77777777" w:rsidR="00D65679" w:rsidRDefault="00D65679" w:rsidP="00D65679">
      <w:pPr>
        <w:spacing w:after="0" w:line="240" w:lineRule="auto"/>
        <w:jc w:val="center"/>
        <w:rPr>
          <w:rFonts w:ascii="Times New Roman" w:hAnsi="Times New Roman" w:cs="Times New Roman"/>
          <w:b/>
          <w:i/>
          <w:sz w:val="24"/>
          <w:szCs w:val="24"/>
        </w:rPr>
      </w:pPr>
    </w:p>
    <w:p w14:paraId="46EFD22D" w14:textId="77777777" w:rsidR="00D65679" w:rsidRDefault="00D65679" w:rsidP="00D65679">
      <w:pPr>
        <w:spacing w:after="0" w:line="240" w:lineRule="auto"/>
        <w:jc w:val="center"/>
        <w:rPr>
          <w:rFonts w:ascii="Times New Roman" w:hAnsi="Times New Roman" w:cs="Times New Roman"/>
          <w:b/>
          <w:i/>
          <w:sz w:val="24"/>
          <w:szCs w:val="24"/>
        </w:rPr>
      </w:pPr>
    </w:p>
    <w:p w14:paraId="4E783983" w14:textId="77777777" w:rsidR="008540C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 8</w:t>
      </w:r>
    </w:p>
    <w:p w14:paraId="5F8F5F7E" w14:textId="01960AD7" w:rsidR="00D65679" w:rsidRPr="00D65679" w:rsidRDefault="008540C9" w:rsidP="00D6567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00D757E3" w:rsidRPr="00D757E3">
        <w:rPr>
          <w:rFonts w:ascii="Times New Roman" w:hAnsi="Times New Roman" w:cs="Times New Roman"/>
          <w:b/>
          <w:sz w:val="28"/>
          <w:szCs w:val="28"/>
        </w:rPr>
        <w:t>zjava nadzornog inženjera o usklađenosti projekta s DNSH načelom</w:t>
      </w:r>
      <w:r w:rsidR="00D757E3">
        <w:rPr>
          <w:rFonts w:ascii="Times New Roman" w:hAnsi="Times New Roman" w:cs="Times New Roman"/>
          <w:b/>
          <w:sz w:val="28"/>
          <w:szCs w:val="28"/>
        </w:rPr>
        <w:t xml:space="preserve"> </w:t>
      </w: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1DB67866" w14:textId="77777777" w:rsidR="00D65679" w:rsidRDefault="00D65679" w:rsidP="00D65679">
      <w:pPr>
        <w:spacing w:after="0" w:line="240" w:lineRule="auto"/>
        <w:jc w:val="center"/>
        <w:rPr>
          <w:rFonts w:ascii="Times New Roman" w:hAnsi="Times New Roman" w:cs="Times New Roman"/>
          <w:b/>
          <w:i/>
          <w:sz w:val="24"/>
          <w:szCs w:val="24"/>
        </w:rPr>
      </w:pPr>
    </w:p>
    <w:p w14:paraId="7C35B2B9" w14:textId="77777777" w:rsidR="00D65679" w:rsidRDefault="00D65679" w:rsidP="00D65679">
      <w:pPr>
        <w:spacing w:after="0" w:line="240" w:lineRule="auto"/>
        <w:jc w:val="center"/>
        <w:rPr>
          <w:rFonts w:ascii="Times New Roman" w:hAnsi="Times New Roman" w:cs="Times New Roman"/>
          <w:b/>
          <w:i/>
          <w:sz w:val="24"/>
          <w:szCs w:val="24"/>
        </w:rPr>
      </w:pPr>
    </w:p>
    <w:p w14:paraId="331662F6" w14:textId="77777777" w:rsidR="00D65679" w:rsidRDefault="00D65679" w:rsidP="00D65679">
      <w:pPr>
        <w:spacing w:after="0" w:line="240" w:lineRule="auto"/>
        <w:jc w:val="center"/>
        <w:rPr>
          <w:rFonts w:ascii="Times New Roman" w:hAnsi="Times New Roman" w:cs="Times New Roman"/>
          <w:b/>
          <w:i/>
          <w:sz w:val="24"/>
          <w:szCs w:val="24"/>
        </w:rPr>
      </w:pPr>
    </w:p>
    <w:p w14:paraId="7CDF45AA" w14:textId="77777777" w:rsidR="00D65679" w:rsidRDefault="00D65679" w:rsidP="00D65679">
      <w:pPr>
        <w:spacing w:after="0" w:line="240" w:lineRule="auto"/>
        <w:jc w:val="center"/>
        <w:rPr>
          <w:rFonts w:ascii="Times New Roman" w:hAnsi="Times New Roman" w:cs="Times New Roman"/>
          <w:b/>
          <w:i/>
          <w:sz w:val="24"/>
          <w:szCs w:val="24"/>
        </w:rPr>
      </w:pPr>
    </w:p>
    <w:p w14:paraId="1C8083D8" w14:textId="77777777" w:rsidR="00D65679" w:rsidRDefault="00D65679" w:rsidP="00D65679">
      <w:pPr>
        <w:spacing w:after="0" w:line="240" w:lineRule="auto"/>
        <w:jc w:val="center"/>
        <w:rPr>
          <w:rFonts w:ascii="Times New Roman" w:hAnsi="Times New Roman" w:cs="Times New Roman"/>
          <w:b/>
          <w:i/>
          <w:sz w:val="24"/>
          <w:szCs w:val="24"/>
        </w:rPr>
      </w:pPr>
    </w:p>
    <w:p w14:paraId="094EBD54"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D65679">
      <w:pPr>
        <w:spacing w:after="0" w:line="240" w:lineRule="auto"/>
        <w:jc w:val="center"/>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31AA6EA3" w14:textId="77777777" w:rsidR="00D65679" w:rsidRDefault="00D65679" w:rsidP="00D65679">
      <w:pPr>
        <w:spacing w:after="0" w:line="240" w:lineRule="auto"/>
        <w:jc w:val="center"/>
        <w:rPr>
          <w:rFonts w:ascii="Times New Roman" w:hAnsi="Times New Roman" w:cs="Times New Roman"/>
          <w:b/>
          <w:i/>
          <w:sz w:val="24"/>
          <w:szCs w:val="24"/>
        </w:rPr>
      </w:pPr>
    </w:p>
    <w:p w14:paraId="72632B98" w14:textId="77777777" w:rsidR="00D65679" w:rsidRDefault="00D65679" w:rsidP="00D65679">
      <w:pPr>
        <w:spacing w:after="0" w:line="240" w:lineRule="auto"/>
        <w:jc w:val="center"/>
        <w:rPr>
          <w:rFonts w:ascii="Times New Roman" w:hAnsi="Times New Roman" w:cs="Times New Roman"/>
          <w:b/>
          <w:i/>
          <w:sz w:val="24"/>
          <w:szCs w:val="24"/>
        </w:rPr>
      </w:pPr>
    </w:p>
    <w:p w14:paraId="618C51E4" w14:textId="77777777" w:rsidR="00D65679" w:rsidRDefault="00D65679" w:rsidP="00D65679">
      <w:pPr>
        <w:spacing w:after="0" w:line="240" w:lineRule="auto"/>
        <w:jc w:val="center"/>
        <w:rPr>
          <w:rFonts w:ascii="Times New Roman" w:hAnsi="Times New Roman" w:cs="Times New Roman"/>
          <w:b/>
          <w:i/>
          <w:sz w:val="24"/>
          <w:szCs w:val="24"/>
        </w:rPr>
      </w:pPr>
    </w:p>
    <w:p w14:paraId="5F2E726A" w14:textId="77777777" w:rsidR="00D65679" w:rsidRDefault="00D65679" w:rsidP="00D65679">
      <w:pPr>
        <w:spacing w:after="0" w:line="240" w:lineRule="auto"/>
        <w:jc w:val="center"/>
        <w:rPr>
          <w:rFonts w:ascii="Times New Roman" w:hAnsi="Times New Roman" w:cs="Times New Roman"/>
          <w:b/>
          <w:i/>
          <w:sz w:val="24"/>
          <w:szCs w:val="24"/>
        </w:rPr>
      </w:pPr>
    </w:p>
    <w:p w14:paraId="13E83D81" w14:textId="77777777" w:rsidR="00D65679" w:rsidRDefault="00D65679" w:rsidP="00D65679">
      <w:pPr>
        <w:spacing w:after="0" w:line="240" w:lineRule="auto"/>
        <w:jc w:val="center"/>
        <w:rPr>
          <w:rFonts w:ascii="Times New Roman" w:hAnsi="Times New Roman" w:cs="Times New Roman"/>
          <w:b/>
          <w:i/>
          <w:sz w:val="24"/>
          <w:szCs w:val="24"/>
        </w:rPr>
      </w:pPr>
    </w:p>
    <w:p w14:paraId="4F8C2E0B" w14:textId="77777777" w:rsidR="00D65679" w:rsidRDefault="00D65679" w:rsidP="00D65679">
      <w:pPr>
        <w:spacing w:after="0" w:line="240" w:lineRule="auto"/>
        <w:jc w:val="center"/>
        <w:rPr>
          <w:rFonts w:ascii="Times New Roman" w:hAnsi="Times New Roman" w:cs="Times New Roman"/>
          <w:b/>
          <w:i/>
          <w:sz w:val="24"/>
          <w:szCs w:val="24"/>
        </w:rPr>
      </w:pPr>
    </w:p>
    <w:p w14:paraId="4FCF2DF8" w14:textId="77777777" w:rsidR="00D65679" w:rsidRDefault="00D65679" w:rsidP="00D65679">
      <w:pPr>
        <w:spacing w:after="0" w:line="240" w:lineRule="auto"/>
        <w:jc w:val="center"/>
        <w:rPr>
          <w:rFonts w:ascii="Times New Roman" w:hAnsi="Times New Roman" w:cs="Times New Roman"/>
          <w:b/>
          <w:i/>
          <w:sz w:val="24"/>
          <w:szCs w:val="24"/>
        </w:rPr>
      </w:pPr>
    </w:p>
    <w:p w14:paraId="5A2351FE"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25BAFFF8" w:rsidR="00D65679" w:rsidRPr="00D65679" w:rsidRDefault="00D65679" w:rsidP="00D65679">
      <w:pPr>
        <w:jc w:val="center"/>
        <w:rPr>
          <w:rFonts w:ascii="Times New Roman" w:eastAsiaTheme="majorEastAsia" w:hAnsi="Times New Roman" w:cs="Times New Roman"/>
          <w:b/>
          <w:sz w:val="28"/>
          <w:szCs w:val="28"/>
        </w:rPr>
      </w:pPr>
      <w:bookmarkStart w:id="0" w:name="bookmark0"/>
      <w:bookmarkStart w:id="1" w:name="bookmark1"/>
      <w:bookmarkStart w:id="2" w:name="bookmark3"/>
      <w:bookmarkStart w:id="3" w:name="bookmark4"/>
      <w:bookmarkStart w:id="4" w:name="bookmark8"/>
      <w:bookmarkEnd w:id="0"/>
      <w:bookmarkEnd w:id="1"/>
      <w:bookmarkEnd w:id="2"/>
      <w:bookmarkEnd w:id="3"/>
      <w:bookmarkEnd w:id="4"/>
      <w:r w:rsidRPr="00297174">
        <w:rPr>
          <w:rFonts w:ascii="Times New Roman" w:eastAsiaTheme="majorEastAsia" w:hAnsi="Times New Roman" w:cs="Times New Roman"/>
          <w:b/>
          <w:sz w:val="28"/>
          <w:szCs w:val="28"/>
        </w:rPr>
        <w:t>Ovaj poziv se financira iz Mehanizma za oporavak i otpornost.</w:t>
      </w:r>
      <w:r>
        <w:rPr>
          <w:rFonts w:ascii="Times New Roman" w:hAnsi="Times New Roman" w:cs="Times New Roman"/>
          <w:i/>
        </w:rPr>
        <w:br w:type="page"/>
      </w:r>
    </w:p>
    <w:p w14:paraId="1EF7889A" w14:textId="2384F5A5" w:rsidR="00D757E3" w:rsidRPr="00D757E3" w:rsidRDefault="00D6668F" w:rsidP="00D757E3">
      <w:pPr>
        <w:spacing w:after="120"/>
        <w:jc w:val="center"/>
        <w:rPr>
          <w:rFonts w:ascii="Times New Roman" w:hAnsi="Times New Roman" w:cs="Times New Roman"/>
          <w:b/>
          <w:bCs/>
          <w:sz w:val="28"/>
          <w:szCs w:val="28"/>
        </w:rPr>
      </w:pPr>
      <w:r w:rsidRPr="00D757E3">
        <w:rPr>
          <w:rFonts w:ascii="Times New Roman" w:hAnsi="Times New Roman" w:cs="Times New Roman"/>
          <w:b/>
          <w:bCs/>
          <w:sz w:val="28"/>
          <w:szCs w:val="28"/>
        </w:rPr>
        <w:lastRenderedPageBreak/>
        <w:t>Izjava nadzornog inženjer</w:t>
      </w:r>
      <w:r>
        <w:rPr>
          <w:rFonts w:ascii="Times New Roman" w:hAnsi="Times New Roman" w:cs="Times New Roman"/>
          <w:b/>
          <w:bCs/>
          <w:sz w:val="28"/>
          <w:szCs w:val="28"/>
        </w:rPr>
        <w:t>a o usklađenosti projekta s DNSH</w:t>
      </w:r>
      <w:r w:rsidRPr="00D757E3">
        <w:rPr>
          <w:rFonts w:ascii="Times New Roman" w:hAnsi="Times New Roman" w:cs="Times New Roman"/>
          <w:b/>
          <w:bCs/>
          <w:sz w:val="28"/>
          <w:szCs w:val="28"/>
        </w:rPr>
        <w:t xml:space="preserve"> načelom</w:t>
      </w:r>
      <w:r w:rsidR="00725115">
        <w:rPr>
          <w:rStyle w:val="FootnoteReference"/>
          <w:rFonts w:ascii="Times New Roman" w:hAnsi="Times New Roman"/>
          <w:b/>
          <w:bCs/>
          <w:sz w:val="28"/>
          <w:szCs w:val="28"/>
        </w:rPr>
        <w:footnoteReference w:id="1"/>
      </w:r>
    </w:p>
    <w:p w14:paraId="194041DB"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Ja,__________________________________________________________________,</w:t>
      </w:r>
    </w:p>
    <w:p w14:paraId="512B3417" w14:textId="77777777" w:rsidR="00D757E3" w:rsidRPr="00D757E3" w:rsidRDefault="00D757E3" w:rsidP="00D757E3">
      <w:pPr>
        <w:spacing w:before="80" w:after="80"/>
        <w:jc w:val="center"/>
        <w:rPr>
          <w:rFonts w:ascii="Times New Roman" w:eastAsia="SimSun" w:hAnsi="Times New Roman" w:cs="Times New Roman"/>
          <w:sz w:val="24"/>
          <w:szCs w:val="24"/>
        </w:rPr>
      </w:pPr>
      <w:r w:rsidRPr="00D757E3">
        <w:rPr>
          <w:rFonts w:ascii="Times New Roman" w:eastAsia="SimSun" w:hAnsi="Times New Roman" w:cs="Times New Roman"/>
          <w:sz w:val="24"/>
          <w:szCs w:val="24"/>
        </w:rPr>
        <w:t>(ime i prezime, broj ovlaštenja)</w:t>
      </w:r>
    </w:p>
    <w:p w14:paraId="017A45C7" w14:textId="77777777" w:rsidR="00D757E3" w:rsidRPr="00D757E3" w:rsidRDefault="00D757E3" w:rsidP="00D757E3">
      <w:pPr>
        <w:spacing w:before="80" w:after="80"/>
        <w:rPr>
          <w:rFonts w:ascii="Times New Roman" w:eastAsia="SimSun" w:hAnsi="Times New Roman" w:cs="Times New Roman"/>
          <w:sz w:val="24"/>
          <w:szCs w:val="24"/>
        </w:rPr>
      </w:pPr>
    </w:p>
    <w:p w14:paraId="4AD39A97"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kao glavni nadzorni inženjer/nadzorni inženjer na projektu energetske obnove zgrade sa statusom kulturnog dobra , pod materijalnom i kaznenom odgovornošću, izjavljujem:</w:t>
      </w:r>
    </w:p>
    <w:p w14:paraId="32DE6EA5" w14:textId="77777777" w:rsidR="00D757E3" w:rsidRPr="00D757E3" w:rsidRDefault="00D757E3" w:rsidP="00D757E3">
      <w:pPr>
        <w:spacing w:before="80" w:after="80"/>
        <w:rPr>
          <w:rFonts w:ascii="Times New Roman" w:eastAsia="SimSun" w:hAnsi="Times New Roman" w:cs="Times New Roman"/>
          <w:sz w:val="24"/>
          <w:szCs w:val="24"/>
        </w:rPr>
      </w:pPr>
      <w:r w:rsidRPr="00D757E3">
        <w:rPr>
          <w:rFonts w:ascii="Times New Roman" w:eastAsia="SimSun" w:hAnsi="Times New Roman" w:cs="Times New Roman"/>
          <w:sz w:val="24"/>
          <w:szCs w:val="24"/>
        </w:rPr>
        <w:t>Izvođenjem radova na zgradi sa statusom kulturnog dobra</w:t>
      </w:r>
    </w:p>
    <w:p w14:paraId="1A478271"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adresa zgrade (naselje, ulica, kućni broj): _________________________________</w:t>
      </w:r>
    </w:p>
    <w:p w14:paraId="4463DC01" w14:textId="77777777" w:rsidR="00D757E3" w:rsidRPr="00D757E3" w:rsidRDefault="00D757E3" w:rsidP="00D757E3">
      <w:pPr>
        <w:ind w:left="142"/>
        <w:jc w:val="both"/>
        <w:rPr>
          <w:rFonts w:ascii="Times New Roman" w:hAnsi="Times New Roman" w:cs="Times New Roman"/>
          <w:sz w:val="24"/>
          <w:szCs w:val="24"/>
        </w:rPr>
      </w:pP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t xml:space="preserve">          </w:t>
      </w:r>
      <w:r w:rsidRPr="00D757E3">
        <w:rPr>
          <w:rFonts w:ascii="Times New Roman" w:hAnsi="Times New Roman" w:cs="Times New Roman"/>
          <w:sz w:val="24"/>
          <w:szCs w:val="24"/>
          <w:u w:val="single"/>
        </w:rPr>
        <w:tab/>
      </w:r>
    </w:p>
    <w:p w14:paraId="45FBD99F" w14:textId="77777777" w:rsidR="00D757E3" w:rsidRPr="00D757E3" w:rsidRDefault="00D757E3" w:rsidP="00D757E3">
      <w:pPr>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općina: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69D878A2" w14:textId="77777777" w:rsidR="00D757E3" w:rsidRPr="00D757E3" w:rsidRDefault="00D757E3" w:rsidP="00D757E3">
      <w:pPr>
        <w:spacing w:after="0"/>
        <w:jc w:val="both"/>
        <w:rPr>
          <w:rFonts w:ascii="Times New Roman" w:hAnsi="Times New Roman" w:cs="Times New Roman"/>
          <w:sz w:val="24"/>
          <w:szCs w:val="24"/>
        </w:rPr>
      </w:pPr>
      <w:r w:rsidRPr="00D757E3">
        <w:rPr>
          <w:rFonts w:ascii="Times New Roman" w:hAnsi="Times New Roman" w:cs="Times New Roman"/>
          <w:sz w:val="24"/>
          <w:szCs w:val="24"/>
        </w:rPr>
        <w:t xml:space="preserve">katastarska čestica: </w:t>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r w:rsidRPr="00D757E3">
        <w:rPr>
          <w:rFonts w:ascii="Times New Roman" w:hAnsi="Times New Roman" w:cs="Times New Roman"/>
          <w:sz w:val="24"/>
          <w:szCs w:val="24"/>
          <w:u w:val="single"/>
        </w:rPr>
        <w:tab/>
      </w:r>
    </w:p>
    <w:p w14:paraId="3098D0D2" w14:textId="6F39E4F9"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ne nanosi se bitna šteta niže navedenim okolišnim ciljevima te su radovi izvedeni u skladu s glavnim projektom.</w:t>
      </w:r>
    </w:p>
    <w:p w14:paraId="718FC654"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Napomena: </w:t>
      </w:r>
      <w:r w:rsidRPr="00D757E3">
        <w:rPr>
          <w:rFonts w:ascii="Times New Roman" w:eastAsia="SimSun" w:hAnsi="Times New Roman" w:cs="Times New Roman"/>
          <w:i/>
          <w:iCs/>
          <w:sz w:val="24"/>
          <w:szCs w:val="24"/>
        </w:rPr>
        <w:t xml:space="preserve">Označiti križićem (x) ako je primjenjivo (samo za dijelove označene </w:t>
      </w:r>
      <w:r w:rsidRPr="00D757E3">
        <w:rPr>
          <w:rFonts w:ascii="Times New Roman" w:eastAsia="SimSun" w:hAnsi="Times New Roman" w:cs="Times New Roman"/>
          <w:i/>
          <w:iCs/>
          <w:sz w:val="44"/>
          <w:szCs w:val="44"/>
        </w:rPr>
        <w:t>□</w:t>
      </w:r>
      <w:r w:rsidRPr="00D757E3">
        <w:rPr>
          <w:rFonts w:ascii="Times New Roman" w:eastAsia="SimSun" w:hAnsi="Times New Roman" w:cs="Times New Roman"/>
          <w:i/>
          <w:iCs/>
          <w:sz w:val="24"/>
          <w:szCs w:val="24"/>
        </w:rPr>
        <w:t>) i nadopuniti potrebnim podacima na praznim crtama.</w:t>
      </w:r>
    </w:p>
    <w:p w14:paraId="33B86DA4" w14:textId="77777777" w:rsidR="00D757E3" w:rsidRPr="00D757E3" w:rsidRDefault="00D757E3" w:rsidP="00D757E3">
      <w:pPr>
        <w:spacing w:before="80" w:after="80"/>
        <w:jc w:val="both"/>
        <w:rPr>
          <w:rFonts w:ascii="Times New Roman" w:eastAsia="SimSun" w:hAnsi="Times New Roman" w:cs="Times New Roman"/>
          <w:sz w:val="24"/>
          <w:szCs w:val="24"/>
        </w:rPr>
      </w:pPr>
    </w:p>
    <w:p w14:paraId="4553006C"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 xml:space="preserve">I. Ublažavanje klimatskih promjena </w:t>
      </w:r>
    </w:p>
    <w:p w14:paraId="1C4412E4" w14:textId="77777777" w:rsidR="00D757E3" w:rsidRPr="00D757E3" w:rsidRDefault="00D757E3" w:rsidP="009C0C4E">
      <w:pPr>
        <w:spacing w:before="80" w:after="80"/>
        <w:ind w:left="1145"/>
        <w:contextualSpacing/>
        <w:jc w:val="both"/>
        <w:rPr>
          <w:rFonts w:ascii="Times New Roman" w:eastAsia="SimSun" w:hAnsi="Times New Roman" w:cs="Times New Roman"/>
          <w:b/>
          <w:bCs/>
          <w:sz w:val="24"/>
          <w:szCs w:val="24"/>
        </w:rPr>
      </w:pPr>
    </w:p>
    <w:p w14:paraId="7A957EA1" w14:textId="26BAEAE0" w:rsidR="00D757E3" w:rsidRPr="00D757E3" w:rsidRDefault="00D757E3" w:rsidP="009C0C4E">
      <w:pPr>
        <w:numPr>
          <w:ilvl w:val="0"/>
          <w:numId w:val="37"/>
        </w:numPr>
        <w:spacing w:after="0"/>
        <w:ind w:left="0"/>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 xml:space="preserve">Radovima energetske obnove zgrade sa statusom kulturnog dobra postignuta je </w:t>
      </w:r>
      <w:r w:rsidRPr="009C0C4E">
        <w:rPr>
          <w:rFonts w:ascii="Times New Roman" w:eastAsia="SimSun" w:hAnsi="Times New Roman" w:cs="Times New Roman"/>
          <w:sz w:val="24"/>
          <w:szCs w:val="24"/>
        </w:rPr>
        <w:t>ušteda godišnje</w:t>
      </w:r>
      <w:r w:rsidR="009240B3" w:rsidRPr="009C0C4E">
        <w:rPr>
          <w:rFonts w:ascii="Times New Roman" w:eastAsia="SimSun" w:hAnsi="Times New Roman" w:cs="Times New Roman"/>
          <w:sz w:val="24"/>
          <w:szCs w:val="24"/>
        </w:rPr>
        <w:t xml:space="preserve"> primarne energije (Eprim</w:t>
      </w:r>
      <w:r w:rsidR="009240B3">
        <w:rPr>
          <w:rFonts w:ascii="Times New Roman" w:eastAsia="SimSun" w:hAnsi="Times New Roman" w:cs="Times New Roman"/>
          <w:sz w:val="24"/>
          <w:szCs w:val="24"/>
        </w:rPr>
        <w:t>)</w:t>
      </w:r>
      <w:r w:rsidR="007B0B8C">
        <w:rPr>
          <w:rFonts w:ascii="Times New Roman" w:eastAsia="SimSun" w:hAnsi="Times New Roman" w:cs="Times New Roman"/>
          <w:sz w:val="24"/>
          <w:szCs w:val="24"/>
        </w:rPr>
        <w:t xml:space="preserve"> (M</w:t>
      </w:r>
      <w:r w:rsidRPr="00D757E3">
        <w:rPr>
          <w:rFonts w:ascii="Times New Roman" w:eastAsia="SimSun" w:hAnsi="Times New Roman" w:cs="Times New Roman"/>
          <w:sz w:val="24"/>
          <w:szCs w:val="24"/>
        </w:rPr>
        <w:t xml:space="preserve">Wh/god) od ____________ u odnosu na stanje prije obnove; </w:t>
      </w:r>
    </w:p>
    <w:p w14:paraId="5427E378" w14:textId="77777777" w:rsidR="00D757E3" w:rsidRPr="00D757E3" w:rsidRDefault="00D757E3" w:rsidP="0010269E">
      <w:pPr>
        <w:numPr>
          <w:ilvl w:val="0"/>
          <w:numId w:val="37"/>
        </w:numPr>
        <w:spacing w:after="0"/>
        <w:ind w:left="0"/>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Energetski obnovljena zgrada sa statusom kulturnog dobra nije namijenjena vađenju, skladištenju, transportu ili proizvodnji fosilnih goriva;</w:t>
      </w:r>
    </w:p>
    <w:p w14:paraId="194E4B89" w14:textId="77777777" w:rsidR="00D757E3" w:rsidRPr="00D757E3" w:rsidRDefault="00D757E3" w:rsidP="009C0C4E">
      <w:pPr>
        <w:spacing w:after="0"/>
        <w:ind w:left="142" w:hanging="426"/>
        <w:jc w:val="both"/>
        <w:rPr>
          <w:rFonts w:ascii="Times New Roman" w:eastAsia="SimSun" w:hAnsi="Times New Roman" w:cs="Times New Roman"/>
          <w:sz w:val="24"/>
          <w:szCs w:val="24"/>
        </w:rPr>
      </w:pPr>
      <w:r w:rsidRPr="007D61DA">
        <w:rPr>
          <w:rFonts w:ascii="Times New Roman" w:eastAsia="SimSun" w:hAnsi="Times New Roman" w:cs="Times New Roman" w:hint="eastAsia"/>
          <w:sz w:val="36"/>
          <w:szCs w:val="36"/>
        </w:rPr>
        <w:t>□</w:t>
      </w:r>
      <w:r w:rsidRPr="007D61DA">
        <w:rPr>
          <w:rFonts w:ascii="Times New Roman" w:eastAsia="SimSun" w:hAnsi="Times New Roman" w:cs="Times New Roman" w:hint="eastAsia"/>
          <w:sz w:val="36"/>
          <w:szCs w:val="36"/>
        </w:rPr>
        <w:t xml:space="preserve"> </w:t>
      </w:r>
      <w:r w:rsidRPr="007D61DA">
        <w:rPr>
          <w:rFonts w:ascii="Times New Roman" w:eastAsia="SimSun" w:hAnsi="Times New Roman" w:cs="Times New Roman"/>
          <w:sz w:val="24"/>
          <w:szCs w:val="24"/>
        </w:rPr>
        <w:t>Radovi zamjene postojećih neučinkovitih sustava grijanja i kotlova (npr. na bazi ugljena ili loživog ulja ili standardnih postojećih plinskih kotlova/ bojlera) visokoučinkovitim kondenzacijskim kotlovima na plin izvedeni su sukladno glavnom projektu;</w:t>
      </w:r>
      <w:r w:rsidRPr="00D757E3">
        <w:rPr>
          <w:rFonts w:ascii="Times New Roman" w:eastAsia="SimSun" w:hAnsi="Times New Roman" w:cs="Times New Roman"/>
          <w:sz w:val="24"/>
          <w:szCs w:val="24"/>
        </w:rPr>
        <w:t xml:space="preserve">  </w:t>
      </w:r>
    </w:p>
    <w:p w14:paraId="6BB4918C" w14:textId="77777777" w:rsidR="00D757E3" w:rsidRPr="00D757E3" w:rsidRDefault="00D757E3" w:rsidP="00D757E3">
      <w:pPr>
        <w:spacing w:after="0"/>
        <w:ind w:left="426" w:hanging="426"/>
        <w:jc w:val="both"/>
        <w:rPr>
          <w:rFonts w:ascii="Times New Roman" w:eastAsia="SimSun" w:hAnsi="Times New Roman" w:cs="Times New Roman"/>
          <w:sz w:val="24"/>
          <w:szCs w:val="24"/>
        </w:rPr>
      </w:pPr>
    </w:p>
    <w:p w14:paraId="09408C58" w14:textId="77777777" w:rsidR="00D757E3" w:rsidRPr="00D757E3" w:rsidRDefault="00D757E3" w:rsidP="009C0C4E">
      <w:pPr>
        <w:spacing w:after="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čime se osigurava značajni doprinos predmetnom okolišnom cilju.</w:t>
      </w:r>
    </w:p>
    <w:p w14:paraId="0C54AF6A" w14:textId="77777777" w:rsidR="00D757E3" w:rsidRPr="00D757E3" w:rsidRDefault="00D757E3" w:rsidP="00D757E3">
      <w:pPr>
        <w:rPr>
          <w:rFonts w:ascii="Times New Roman" w:eastAsia="SimSun" w:hAnsi="Times New Roman" w:cs="Times New Roman"/>
          <w:sz w:val="24"/>
          <w:szCs w:val="24"/>
        </w:rPr>
      </w:pPr>
      <w:r w:rsidRPr="00D757E3">
        <w:rPr>
          <w:rFonts w:ascii="Times New Roman" w:eastAsia="SimSun" w:hAnsi="Times New Roman" w:cs="Times New Roman"/>
          <w:sz w:val="24"/>
          <w:szCs w:val="24"/>
        </w:rPr>
        <w:br w:type="page"/>
      </w:r>
    </w:p>
    <w:p w14:paraId="27DA25C3" w14:textId="77777777" w:rsidR="00D757E3" w:rsidRPr="00D757E3" w:rsidRDefault="00D757E3" w:rsidP="00D757E3">
      <w:pPr>
        <w:spacing w:before="80" w:after="80"/>
        <w:jc w:val="both"/>
        <w:rPr>
          <w:rFonts w:ascii="Times New Roman" w:eastAsia="SimSun" w:hAnsi="Times New Roman" w:cs="Times New Roman"/>
          <w:sz w:val="24"/>
          <w:szCs w:val="24"/>
        </w:rPr>
      </w:pPr>
    </w:p>
    <w:p w14:paraId="76E782C7"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 Prilagođavanje klimatskim promjenama</w:t>
      </w:r>
    </w:p>
    <w:p w14:paraId="2A90FD70" w14:textId="77777777" w:rsidR="00D757E3" w:rsidRPr="00D757E3" w:rsidRDefault="00D757E3" w:rsidP="00D757E3">
      <w:pPr>
        <w:spacing w:before="80" w:after="80"/>
        <w:ind w:left="709"/>
        <w:contextualSpacing/>
        <w:jc w:val="both"/>
        <w:rPr>
          <w:rFonts w:ascii="Times New Roman" w:eastAsia="SimSun" w:hAnsi="Times New Roman" w:cs="Times New Roman"/>
          <w:sz w:val="24"/>
          <w:szCs w:val="24"/>
        </w:rPr>
      </w:pPr>
    </w:p>
    <w:p w14:paraId="17576FF5" w14:textId="77777777" w:rsidR="00D757E3" w:rsidRPr="00D757E3" w:rsidRDefault="00D757E3" w:rsidP="00D757E3">
      <w:pPr>
        <w:spacing w:before="80" w:after="80"/>
        <w:ind w:left="426"/>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Radovima energetske obnove zgrade sa statusom kulturnog dobra poboljšana je toplinska ugodnost te se energetskom obnovom nije povećao štetni učinak trenutačne ili očekivane buduće klime na korisnike zgrade.</w:t>
      </w:r>
    </w:p>
    <w:p w14:paraId="03148D1C" w14:textId="77777777" w:rsidR="00D757E3" w:rsidRPr="00D757E3" w:rsidRDefault="00D757E3" w:rsidP="00030B72">
      <w:pPr>
        <w:spacing w:before="80" w:after="80"/>
        <w:jc w:val="both"/>
        <w:rPr>
          <w:rFonts w:ascii="Times New Roman" w:eastAsia="SimSun" w:hAnsi="Times New Roman" w:cs="Times New Roman"/>
          <w:sz w:val="24"/>
          <w:szCs w:val="24"/>
        </w:rPr>
      </w:pPr>
    </w:p>
    <w:p w14:paraId="4676229E"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III. Održiva uporaba i zaštita voda i morskih resursa</w:t>
      </w:r>
    </w:p>
    <w:p w14:paraId="3D1AF120"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4DA12E6B" w14:textId="77777777"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 xml:space="preserve">Predmet energetske obnove je postojeća zgrada sa statusom kulturnog dobra priključena na komunalnu infrastrukturu vodovoda i odvodnje otpadnih voda. </w:t>
      </w:r>
    </w:p>
    <w:p w14:paraId="3B7E97E3" w14:textId="77777777"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hint="eastAsia"/>
          <w:sz w:val="24"/>
          <w:szCs w:val="24"/>
        </w:rPr>
        <w:t>□</w:t>
      </w:r>
      <w:r w:rsidRPr="00D757E3">
        <w:rPr>
          <w:rFonts w:ascii="Times New Roman" w:hAnsi="Times New Roman"/>
          <w:sz w:val="24"/>
          <w:szCs w:val="24"/>
        </w:rPr>
        <w:t xml:space="preserve"> Novi uređaji za vodu koji se ugrađeni u zgradu su u skladu s utvrđenim razinama uštede vode s načelima DNSH:</w:t>
      </w:r>
    </w:p>
    <w:p w14:paraId="0295B137" w14:textId="77777777"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 xml:space="preserve">a) slavine za umivaonike i kuhinjske slavine imaju maksimalan protok vode od 6 litara / min; </w:t>
      </w:r>
    </w:p>
    <w:p w14:paraId="43BC44FA" w14:textId="77777777"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b) tuševi imaju maksimalni protok vode od 8 litar</w:t>
      </w:r>
      <w:bookmarkStart w:id="5" w:name="_GoBack"/>
      <w:bookmarkEnd w:id="5"/>
      <w:r w:rsidRPr="00D757E3">
        <w:rPr>
          <w:rFonts w:ascii="Times New Roman" w:hAnsi="Times New Roman"/>
          <w:sz w:val="24"/>
          <w:szCs w:val="24"/>
        </w:rPr>
        <w:t xml:space="preserve">a / min; </w:t>
      </w:r>
    </w:p>
    <w:p w14:paraId="28AEF4EE" w14:textId="77777777"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 xml:space="preserve">c) WC-i, uključujući apartmane, posude i cisterne, imaju puni volumen ispiranja od najviše 6 litara i maksimalni prosječni volumen ispiranja od 3,5 litara; </w:t>
      </w:r>
    </w:p>
    <w:p w14:paraId="5AF70B3A" w14:textId="77777777"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d) pisoari koriste najviše 2 litre / zdjelu / sat. Pisoari za ispiranje imaju maksimalni puni volumen ispiranja od 1 litre.</w:t>
      </w:r>
    </w:p>
    <w:p w14:paraId="527695D2" w14:textId="77777777" w:rsidR="00D757E3" w:rsidRPr="00D757E3" w:rsidRDefault="00D757E3" w:rsidP="00D757E3">
      <w:pPr>
        <w:spacing w:before="80" w:after="80"/>
        <w:ind w:left="426"/>
        <w:jc w:val="both"/>
        <w:rPr>
          <w:rFonts w:ascii="Times New Roman" w:hAnsi="Times New Roman"/>
          <w:sz w:val="24"/>
          <w:szCs w:val="24"/>
        </w:rPr>
      </w:pPr>
    </w:p>
    <w:p w14:paraId="2A5E8CC1" w14:textId="77777777" w:rsidR="00D757E3" w:rsidRPr="00D757E3" w:rsidRDefault="00D757E3" w:rsidP="00D757E3">
      <w:pPr>
        <w:spacing w:before="80" w:after="80"/>
        <w:ind w:left="426"/>
        <w:jc w:val="both"/>
        <w:rPr>
          <w:rFonts w:ascii="Times New Roman" w:hAnsi="Times New Roman"/>
          <w:sz w:val="24"/>
          <w:szCs w:val="24"/>
        </w:rPr>
      </w:pPr>
      <w:r w:rsidRPr="00D757E3">
        <w:rPr>
          <w:rFonts w:ascii="Times New Roman" w:hAnsi="Times New Roman"/>
          <w:sz w:val="24"/>
          <w:szCs w:val="24"/>
        </w:rPr>
        <w:t>Energetska obnova zgrade sa statusom kulturnog dobra ne odnosi se i nije štetna za obalni i morski okoliš, niti za vodna tijela (uključujući površinske i podzemne vode), odnosno ne nanosi se bitna šteta predmetnom okolišnom cilju.</w:t>
      </w:r>
    </w:p>
    <w:p w14:paraId="084A9E6F" w14:textId="77777777" w:rsidR="00D757E3" w:rsidRPr="00D757E3" w:rsidRDefault="00D757E3" w:rsidP="00D757E3">
      <w:pPr>
        <w:spacing w:before="80" w:after="80"/>
        <w:ind w:left="425"/>
        <w:jc w:val="both"/>
        <w:rPr>
          <w:rFonts w:ascii="Times New Roman" w:hAnsi="Times New Roman"/>
          <w:sz w:val="24"/>
          <w:szCs w:val="24"/>
        </w:rPr>
      </w:pPr>
    </w:p>
    <w:p w14:paraId="31ACC564"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Theme="minorHAnsi" w:hAnsi="Times New Roman"/>
          <w:b/>
          <w:bCs/>
          <w:sz w:val="24"/>
          <w:szCs w:val="24"/>
          <w:lang w:eastAsia="en-US"/>
        </w:rPr>
        <w:t>IV. Kružno gospodarstvo, uključujući prevenciju</w:t>
      </w:r>
      <w:r w:rsidRPr="00D757E3">
        <w:rPr>
          <w:rFonts w:ascii="Times New Roman" w:eastAsia="SimSun" w:hAnsi="Times New Roman" w:cs="Times New Roman"/>
          <w:b/>
          <w:bCs/>
          <w:sz w:val="24"/>
          <w:szCs w:val="24"/>
        </w:rPr>
        <w:t xml:space="preserve"> otpada i recikliranje</w:t>
      </w:r>
    </w:p>
    <w:p w14:paraId="4C1D6897"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1F424BD7" w14:textId="77777777" w:rsidR="00D757E3" w:rsidRPr="00D757E3" w:rsidRDefault="00D757E3" w:rsidP="0010269E">
      <w:pPr>
        <w:numPr>
          <w:ilvl w:val="0"/>
          <w:numId w:val="38"/>
        </w:numPr>
        <w:spacing w:before="80" w:after="80"/>
        <w:ind w:left="567" w:hanging="357"/>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Radovima energetske obnove zgrade sa statusom kulturnog dobra ograničeno je stvaranje otpada u procesima koji se odnose na izgradnju i rušenje u skladu s EU Protokolom o gospodarenju otpadom od gradnje i rušenja i uzete su u obzir najbolje dostupne tehnike i korištenje selektivnog rušenja kako bi se omogućilo uklanjanje i sigurno rukovanje opasnih tvari i olakšala ponovna upotreba i visokokvalitetna reciklaža selektivnim uklanjanjem materijala, koristeći dostupne sustave za sortiranje građevinskog otpada i otpada od rušenja;</w:t>
      </w:r>
    </w:p>
    <w:p w14:paraId="4D64288F" w14:textId="77777777" w:rsidR="00D757E3" w:rsidRPr="00D757E3" w:rsidRDefault="00D757E3" w:rsidP="009C0C4E">
      <w:pPr>
        <w:numPr>
          <w:ilvl w:val="0"/>
          <w:numId w:val="38"/>
        </w:numPr>
        <w:spacing w:before="80" w:after="80"/>
        <w:ind w:left="567"/>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Tehnikama izgradnje podržana je kružnost, pozivajući se na ISO 20887 ili drugi standard za procjenu rastavljivosti ili prilagodljivosti zgrade sa statusom kulturnog dobra, te je demonstrirana učinkovitost u pogledu resursa, prilagodljivost, fleksibilnost i rastavljivost kako bi se omogućila ponovna upotreba i recikliranje.</w:t>
      </w:r>
    </w:p>
    <w:p w14:paraId="3DD465FE" w14:textId="1B1229FB" w:rsidR="00CF2194" w:rsidRPr="00EF1187" w:rsidRDefault="00CF2194" w:rsidP="0010269E">
      <w:pPr>
        <w:numPr>
          <w:ilvl w:val="0"/>
          <w:numId w:val="38"/>
        </w:numPr>
        <w:spacing w:before="80" w:after="80"/>
        <w:ind w:left="567"/>
        <w:contextualSpacing/>
        <w:jc w:val="both"/>
        <w:rPr>
          <w:rFonts w:ascii="Times New Roman" w:eastAsia="SimSun" w:hAnsi="Times New Roman" w:cs="Times New Roman"/>
          <w:sz w:val="24"/>
          <w:szCs w:val="24"/>
        </w:rPr>
      </w:pPr>
      <w:r w:rsidRPr="00EF1187">
        <w:rPr>
          <w:rFonts w:ascii="Times New Roman" w:eastAsia="SimSun" w:hAnsi="Times New Roman" w:cs="Times New Roman"/>
          <w:sz w:val="24"/>
          <w:szCs w:val="24"/>
        </w:rPr>
        <w:t xml:space="preserve">Sukladno glavnom projektu i Zakonu o gradnji (NN 153/13, 20/17, 39/19, 125/19) izvođač je gospodario građevnim otpadom nastalim tijekom građenja na gradilištu te je </w:t>
      </w:r>
      <w:proofErr w:type="spellStart"/>
      <w:r w:rsidRPr="00EF1187">
        <w:rPr>
          <w:rFonts w:ascii="Times New Roman" w:eastAsia="SimSun" w:hAnsi="Times New Roman" w:cs="Times New Roman"/>
          <w:sz w:val="24"/>
          <w:szCs w:val="24"/>
        </w:rPr>
        <w:t>oporabio</w:t>
      </w:r>
      <w:proofErr w:type="spellEnd"/>
      <w:r w:rsidRPr="00EF1187">
        <w:rPr>
          <w:rFonts w:ascii="Times New Roman" w:eastAsia="SimSun" w:hAnsi="Times New Roman" w:cs="Times New Roman"/>
          <w:sz w:val="24"/>
          <w:szCs w:val="24"/>
        </w:rPr>
        <w:t xml:space="preserve"> i/ili zbrinuo građevni otpad nastao tijekom građenja na gradilištu prema </w:t>
      </w:r>
      <w:r w:rsidRPr="00EF1187">
        <w:rPr>
          <w:rFonts w:ascii="Times New Roman" w:eastAsia="SimSun" w:hAnsi="Times New Roman" w:cs="Times New Roman"/>
          <w:sz w:val="24"/>
          <w:szCs w:val="24"/>
        </w:rPr>
        <w:lastRenderedPageBreak/>
        <w:t>propisima koji uređuju gospodarenje otpadom (Zakon o gospodarenju otpadom - NN 84/21), Pravilnik o građevnom otpadu i otpadu koji sadrži azbest - NN 69/16). Izvođač nije opasni građevni otpad odbacio u miješani komunalni otpad, ni miješao s drugom vrstom otpada ili tvarima uključujući i građevne proizvode ili materijale koje nemaju status otpada, osim na način određen dozvolom za gospodarenje otpadom.</w:t>
      </w:r>
    </w:p>
    <w:p w14:paraId="1674CB4C" w14:textId="77777777" w:rsidR="00D757E3" w:rsidRPr="00D757E3" w:rsidRDefault="00D757E3" w:rsidP="00D757E3">
      <w:pPr>
        <w:spacing w:before="80" w:after="80"/>
        <w:jc w:val="both"/>
        <w:rPr>
          <w:rFonts w:ascii="Times New Roman" w:eastAsia="SimSun" w:hAnsi="Times New Roman" w:cs="Times New Roman"/>
          <w:sz w:val="24"/>
          <w:szCs w:val="24"/>
        </w:rPr>
      </w:pPr>
    </w:p>
    <w:p w14:paraId="19A7D1D1"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 Prevencija onečišćenja i kontrola zraka, vode ili tla</w:t>
      </w:r>
    </w:p>
    <w:p w14:paraId="56290309"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7E664E60" w14:textId="77777777" w:rsidR="00D757E3" w:rsidRPr="00D757E3" w:rsidRDefault="00D757E3" w:rsidP="00D757E3">
      <w:pPr>
        <w:numPr>
          <w:ilvl w:val="0"/>
          <w:numId w:val="38"/>
        </w:numPr>
        <w:spacing w:before="80" w:after="80"/>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Materijali korišteni u energetskoj obnovi zgrade sa statusom kulturnog dobra nisu sadržavali azbest niti tvari koje izazivaju veliku zabrinutost, kako je utvrđeno na temelju popisa tvari za koje je potrebno odobrenje iz Priloga XIV. Uredbi (EZ) br. 1907/2006;</w:t>
      </w:r>
    </w:p>
    <w:p w14:paraId="35D9BE79" w14:textId="77777777" w:rsidR="00D757E3" w:rsidRPr="00D757E3" w:rsidRDefault="00D757E3" w:rsidP="00D757E3">
      <w:pPr>
        <w:numPr>
          <w:ilvl w:val="0"/>
          <w:numId w:val="38"/>
        </w:numPr>
        <w:spacing w:before="80" w:after="80"/>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Građevinski dijelovi i materijali korišteni u zgradi sa statusom kulturnog dobra koji mogu doći u kontakt sa korisnicima zgrade emitirali su manje od 0,06 mg formaldehida po m3 materijala ili komponente i manje od 0,001 mg kategorija 1A i 1B kancerogeni hlapljivi organski spojevi po m3 materijala ili komponente, nakon ispitivanja u skladu s CEN / TS 16516 i ISO 16000-3 ili drugim usporedivim standardiziranim uvjetima ispitivanja i metodom određivanja;</w:t>
      </w:r>
    </w:p>
    <w:p w14:paraId="7D6CFCB3" w14:textId="77777777" w:rsidR="00D757E3" w:rsidRPr="00D757E3" w:rsidRDefault="00D757E3" w:rsidP="00D757E3">
      <w:pPr>
        <w:numPr>
          <w:ilvl w:val="0"/>
          <w:numId w:val="38"/>
        </w:numPr>
        <w:spacing w:after="0"/>
        <w:contextualSpacing/>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Poduzete su mjere za smanjenje emisije buke, prašine i onečišćujućih tvari tijekom građevinskih radova na energetskoj obnovi zgrade</w:t>
      </w:r>
      <w:r w:rsidRPr="00D757E3">
        <w:rPr>
          <w:rFonts w:eastAsiaTheme="minorHAnsi"/>
          <w:lang w:eastAsia="en-US"/>
        </w:rPr>
        <w:t xml:space="preserve"> </w:t>
      </w:r>
      <w:r w:rsidRPr="00D757E3">
        <w:rPr>
          <w:rFonts w:ascii="Times New Roman" w:eastAsia="SimSun" w:hAnsi="Times New Roman" w:cs="Times New Roman"/>
          <w:sz w:val="24"/>
          <w:szCs w:val="24"/>
        </w:rPr>
        <w:t xml:space="preserve">sa statusom kulturnog dobra, sukladno Zakonu o gradnji članku 133. </w:t>
      </w:r>
      <w:r w:rsidRPr="00D757E3">
        <w:rPr>
          <w:rFonts w:ascii="Times New Roman" w:eastAsia="SimSun" w:hAnsi="Times New Roman" w:cs="Times New Roman"/>
          <w:i/>
          <w:iCs/>
          <w:sz w:val="24"/>
          <w:szCs w:val="24"/>
        </w:rPr>
        <w:t>Uređenje gradilišta</w:t>
      </w:r>
      <w:r w:rsidRPr="00D757E3">
        <w:rPr>
          <w:rFonts w:ascii="Times New Roman" w:eastAsia="SimSun" w:hAnsi="Times New Roman" w:cs="Times New Roman"/>
          <w:sz w:val="24"/>
          <w:szCs w:val="24"/>
        </w:rPr>
        <w:t xml:space="preserve"> koji zahtijeva da se na gradilištu predvide i provode mjere zaštite na radu te ostale mjere za zaštitu života i zdravlja ljudi u skladu s posebnim propisima, te kojima se onečišćenje zraka, tla i podzemnih voda te buka svodi na najmanju mjeru. Tako su se prilikom energetske obnove zgrade sa statusom kulturnog dobra radovi izvodili samo u dnevnom razdoblju, svi rastresiti materijali bili su sklonjeni (prekrivanjem ili po potrebi vlaženjem) kako bi se spriječilo rasipanje tijekom kiše i vjetra, a sva uklanjanja i demontaže građevnih elemenata i materijala vršila se tehnikama koje sprečavaju širenje prašine i štetnih tvari na susjedne površine, te se kada je bilo potrebno koristila zaštitna ograda;</w:t>
      </w:r>
    </w:p>
    <w:p w14:paraId="59274993" w14:textId="22E15009" w:rsidR="00D757E3" w:rsidRPr="00D757E3" w:rsidRDefault="00D757E3" w:rsidP="00D757E3">
      <w:pPr>
        <w:spacing w:after="0"/>
        <w:ind w:left="425" w:hanging="425"/>
        <w:jc w:val="both"/>
        <w:rPr>
          <w:rFonts w:ascii="Times New Roman" w:eastAsia="SimSun" w:hAnsi="Times New Roman" w:cs="Times New Roman"/>
          <w:sz w:val="24"/>
          <w:szCs w:val="24"/>
        </w:rPr>
      </w:pPr>
      <w:r w:rsidRPr="007D61DA">
        <w:rPr>
          <w:rFonts w:ascii="Times New Roman" w:eastAsia="SimSun" w:hAnsi="Times New Roman" w:cs="Times New Roman" w:hint="eastAsia"/>
          <w:sz w:val="44"/>
          <w:szCs w:val="44"/>
        </w:rPr>
        <w:t>□</w:t>
      </w:r>
      <w:r w:rsidRPr="007D61DA">
        <w:rPr>
          <w:rFonts w:ascii="Times New Roman" w:eastAsia="SimSun" w:hAnsi="Times New Roman" w:cs="Times New Roman"/>
          <w:sz w:val="36"/>
          <w:szCs w:val="36"/>
        </w:rPr>
        <w:tab/>
      </w:r>
      <w:r w:rsidRPr="007D61DA">
        <w:rPr>
          <w:rFonts w:ascii="Times New Roman" w:eastAsia="SimSun" w:hAnsi="Times New Roman" w:cs="Times New Roman"/>
          <w:sz w:val="24"/>
          <w:szCs w:val="24"/>
        </w:rPr>
        <w:t>Sukladno glavnom projektu ugrađeni su visokoučinkoviti kondenzacijski kotlovi usklađeni s ekološkim dizajnom, tj. kotlovi koji su u skladu s Direktivom Europskog parlamenta i Vijeća od 21. listopada 2009. o uspostavi okvira za utvrđivanje zahtjeva za ekološki dizajn proizvoda koji koriste energiju (Direktiva 2009/125/CE) i relevantnim provedbenim propisima, kao što je Uredba Komisije (EU) 2015/1189 od 28. travnja 2015. o provedbi Direktive2009/125/CE u pogledu zahtjeva za ekološki dizajn kotlova na kruta goriva.</w:t>
      </w:r>
    </w:p>
    <w:p w14:paraId="533E71A1" w14:textId="77777777" w:rsidR="00D757E3" w:rsidRPr="00D757E3" w:rsidRDefault="00D757E3" w:rsidP="00D757E3">
      <w:pPr>
        <w:spacing w:before="80" w:after="80"/>
        <w:ind w:left="426"/>
        <w:contextualSpacing/>
        <w:jc w:val="both"/>
        <w:rPr>
          <w:rFonts w:ascii="Times New Roman" w:eastAsia="SimSun" w:hAnsi="Times New Roman" w:cs="Times New Roman"/>
          <w:sz w:val="24"/>
          <w:szCs w:val="24"/>
        </w:rPr>
      </w:pPr>
    </w:p>
    <w:p w14:paraId="1D9A168A" w14:textId="77777777" w:rsidR="00D757E3" w:rsidRPr="00D757E3" w:rsidRDefault="00D757E3" w:rsidP="00D757E3">
      <w:pPr>
        <w:numPr>
          <w:ilvl w:val="0"/>
          <w:numId w:val="33"/>
        </w:numPr>
        <w:spacing w:before="80" w:after="80"/>
        <w:contextualSpacing/>
        <w:jc w:val="both"/>
        <w:rPr>
          <w:rFonts w:ascii="Times New Roman" w:eastAsia="SimSun" w:hAnsi="Times New Roman" w:cs="Times New Roman"/>
          <w:b/>
          <w:bCs/>
          <w:sz w:val="24"/>
          <w:szCs w:val="24"/>
        </w:rPr>
      </w:pPr>
      <w:r w:rsidRPr="00D757E3">
        <w:rPr>
          <w:rFonts w:ascii="Times New Roman" w:eastAsia="SimSun" w:hAnsi="Times New Roman" w:cs="Times New Roman"/>
          <w:b/>
          <w:bCs/>
          <w:sz w:val="24"/>
          <w:szCs w:val="24"/>
        </w:rPr>
        <w:t>VI. Zaštita i obnova biološke raznolikosti i ekosustava</w:t>
      </w:r>
    </w:p>
    <w:p w14:paraId="3B5F78EF" w14:textId="77777777" w:rsidR="00D757E3" w:rsidRPr="00D757E3" w:rsidRDefault="00D757E3" w:rsidP="00D757E3">
      <w:pPr>
        <w:spacing w:before="80" w:after="80"/>
        <w:ind w:left="1145"/>
        <w:contextualSpacing/>
        <w:jc w:val="both"/>
        <w:rPr>
          <w:rFonts w:ascii="Times New Roman" w:eastAsia="SimSun" w:hAnsi="Times New Roman" w:cs="Times New Roman"/>
          <w:sz w:val="24"/>
          <w:szCs w:val="24"/>
        </w:rPr>
      </w:pPr>
    </w:p>
    <w:p w14:paraId="58AF49A1"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Predmet energetske obnove je postojeća zgrada sa statusom kulturnog dobra. Projektnim prijedlogom ne nanosi se bitna šteta predmetnom okolišnom cilju:</w:t>
      </w:r>
    </w:p>
    <w:p w14:paraId="57A89967"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lastRenderedPageBreak/>
        <w:t>□</w:t>
      </w:r>
      <w:r w:rsidRPr="00D757E3">
        <w:rPr>
          <w:rFonts w:ascii="Times New Roman" w:eastAsia="SimSun" w:hAnsi="Times New Roman" w:cs="Times New Roman"/>
          <w:sz w:val="24"/>
          <w:szCs w:val="24"/>
        </w:rPr>
        <w:t xml:space="preserve"> Predmetna zgrada ne nalazi se u ili u blizini područja osjetljivih na biološku raznolikost (uključujući mrežu zaštićenih područja Natura 2000, područja svjetske baštine UNESCO-a i ključna područja biološke raznolikosti, kao i druga zaštićena područja), stoga su aktivnosti energetske obnove zgrade imale beznačajno predvidljivi utjecaj.</w:t>
      </w:r>
    </w:p>
    <w:p w14:paraId="7A11DE2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hint="eastAsia"/>
          <w:sz w:val="24"/>
          <w:szCs w:val="24"/>
        </w:rPr>
        <w:t>□</w:t>
      </w:r>
      <w:r w:rsidRPr="00D757E3">
        <w:rPr>
          <w:rFonts w:ascii="Times New Roman" w:eastAsia="SimSun" w:hAnsi="Times New Roman" w:cs="Times New Roman"/>
          <w:sz w:val="24"/>
          <w:szCs w:val="24"/>
        </w:rPr>
        <w:t xml:space="preserve"> Predmetna zgrada nalazi se u ili blizu područja osjetljivih na biološku raznolikost (uključujući mrežu Natura 2000, mjesta svjetske baštine UNESCO-a i ključna mjesta biološke raznolikosti (KBA), kao i druga zaštićena područja) te su se provele potrebne mjere ublažavanja kako bi se spriječilo narušavanje biološke raznolikosti i ekosustava. </w:t>
      </w:r>
    </w:p>
    <w:p w14:paraId="1A857BC8" w14:textId="77777777" w:rsidR="00D757E3" w:rsidRPr="00D757E3" w:rsidRDefault="00D757E3" w:rsidP="00D757E3">
      <w:pPr>
        <w:spacing w:before="80" w:after="80"/>
        <w:jc w:val="both"/>
        <w:rPr>
          <w:rFonts w:ascii="Times New Roman" w:eastAsia="SimSun" w:hAnsi="Times New Roman" w:cs="Times New Roman"/>
          <w:sz w:val="24"/>
          <w:szCs w:val="24"/>
        </w:rPr>
      </w:pPr>
    </w:p>
    <w:p w14:paraId="0DEA5EE2" w14:textId="77777777" w:rsidR="00D757E3" w:rsidRPr="00D757E3" w:rsidRDefault="00D757E3" w:rsidP="00D757E3">
      <w:pPr>
        <w:spacing w:before="80" w:after="80"/>
        <w:jc w:val="both"/>
        <w:rPr>
          <w:rFonts w:ascii="Times New Roman" w:eastAsia="SimSun" w:hAnsi="Times New Roman" w:cs="Times New Roman"/>
          <w:sz w:val="24"/>
          <w:szCs w:val="24"/>
        </w:rPr>
      </w:pPr>
    </w:p>
    <w:p w14:paraId="7346B28E" w14:textId="77777777" w:rsidR="00D757E3" w:rsidRPr="00D757E3" w:rsidRDefault="00D757E3" w:rsidP="00D757E3">
      <w:pPr>
        <w:spacing w:before="80" w:after="80"/>
        <w:jc w:val="both"/>
        <w:rPr>
          <w:rFonts w:ascii="Times New Roman" w:eastAsia="SimSun" w:hAnsi="Times New Roman" w:cs="Times New Roman"/>
          <w:sz w:val="24"/>
          <w:szCs w:val="24"/>
        </w:rPr>
      </w:pPr>
      <w:r w:rsidRPr="00D757E3">
        <w:rPr>
          <w:rFonts w:ascii="Times New Roman" w:eastAsia="SimSun" w:hAnsi="Times New Roman" w:cs="Times New Roman"/>
          <w:sz w:val="24"/>
          <w:szCs w:val="24"/>
        </w:rPr>
        <w:t>Potvrđujem da su navedeni podaci u ovoj Izjavi istiniti te istu ovjeravam pečatom i svojim vlastoručnim potpisom.</w:t>
      </w:r>
    </w:p>
    <w:p w14:paraId="7A3CE319"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 xml:space="preserve">U </w:t>
      </w:r>
      <w:r w:rsidRPr="00D757E3">
        <w:rPr>
          <w:rFonts w:ascii="Times New Roman" w:eastAsia="Times New Roman" w:hAnsi="Times New Roman" w:cs="Times New Roman"/>
          <w:i/>
          <w:sz w:val="24"/>
          <w:szCs w:val="24"/>
        </w:rPr>
        <w:t>&lt; umetnuti mjesto &gt;</w:t>
      </w:r>
      <w:r w:rsidRPr="00D757E3">
        <w:rPr>
          <w:rFonts w:ascii="Times New Roman" w:eastAsia="Times New Roman" w:hAnsi="Times New Roman" w:cs="Times New Roman"/>
          <w:sz w:val="24"/>
          <w:szCs w:val="24"/>
        </w:rPr>
        <w:t xml:space="preserve">, dana </w:t>
      </w:r>
      <w:r w:rsidRPr="00D757E3">
        <w:rPr>
          <w:rFonts w:ascii="Times New Roman" w:eastAsia="Times New Roman" w:hAnsi="Times New Roman" w:cs="Times New Roman"/>
          <w:i/>
          <w:sz w:val="24"/>
          <w:szCs w:val="24"/>
        </w:rPr>
        <w:t>&lt; umetnuti datum &gt;</w:t>
      </w:r>
      <w:r w:rsidRPr="00D757E3">
        <w:rPr>
          <w:rFonts w:ascii="Times New Roman" w:eastAsia="Times New Roman" w:hAnsi="Times New Roman" w:cs="Times New Roman"/>
          <w:sz w:val="24"/>
          <w:szCs w:val="24"/>
        </w:rPr>
        <w:t xml:space="preserve"> 202_. godine.</w:t>
      </w:r>
    </w:p>
    <w:p w14:paraId="380053DA"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p>
    <w:p w14:paraId="7F9DA69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Glavni nadzorni inženjer/nadzorni inženjer:</w:t>
      </w:r>
    </w:p>
    <w:p w14:paraId="5E0BD061"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r w:rsidRPr="00D757E3">
        <w:rPr>
          <w:rFonts w:ascii="Times New Roman" w:eastAsia="Times New Roman" w:hAnsi="Times New Roman" w:cs="Times New Roman"/>
          <w:i/>
          <w:sz w:val="24"/>
          <w:szCs w:val="24"/>
        </w:rPr>
        <w:t>&lt; naziv &gt;</w:t>
      </w:r>
    </w:p>
    <w:p w14:paraId="06461300" w14:textId="77777777" w:rsidR="00D757E3" w:rsidRPr="00D757E3" w:rsidRDefault="00D757E3" w:rsidP="00D757E3">
      <w:pPr>
        <w:tabs>
          <w:tab w:val="left" w:pos="1257"/>
        </w:tabs>
        <w:spacing w:after="0"/>
        <w:jc w:val="both"/>
        <w:rPr>
          <w:rFonts w:ascii="Times New Roman" w:eastAsia="Times New Roman" w:hAnsi="Times New Roman" w:cs="Times New Roman"/>
          <w:i/>
          <w:sz w:val="24"/>
          <w:szCs w:val="24"/>
        </w:rPr>
      </w:pPr>
    </w:p>
    <w:p w14:paraId="4953A0D8" w14:textId="77777777" w:rsidR="00D757E3" w:rsidRPr="00D757E3" w:rsidRDefault="00D757E3" w:rsidP="00D757E3">
      <w:pPr>
        <w:tabs>
          <w:tab w:val="left" w:pos="1257"/>
        </w:tabs>
        <w:spacing w:after="0"/>
        <w:jc w:val="both"/>
        <w:rPr>
          <w:sz w:val="24"/>
          <w:szCs w:val="24"/>
        </w:rPr>
      </w:pPr>
    </w:p>
    <w:p w14:paraId="284E6100"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sz w:val="24"/>
          <w:szCs w:val="24"/>
        </w:rPr>
        <w:t>Potpis                                                                                                          M.P.</w:t>
      </w:r>
    </w:p>
    <w:p w14:paraId="61EC115E" w14:textId="77777777" w:rsidR="00D757E3" w:rsidRPr="00D757E3" w:rsidRDefault="00D757E3" w:rsidP="00D757E3">
      <w:pPr>
        <w:tabs>
          <w:tab w:val="left" w:pos="1257"/>
        </w:tabs>
        <w:spacing w:after="0"/>
        <w:jc w:val="both"/>
        <w:rPr>
          <w:rFonts w:ascii="Times New Roman" w:eastAsia="Times New Roman" w:hAnsi="Times New Roman" w:cs="Times New Roman"/>
          <w:sz w:val="24"/>
          <w:szCs w:val="24"/>
        </w:rPr>
      </w:pPr>
      <w:r w:rsidRPr="00D757E3">
        <w:rPr>
          <w:rFonts w:ascii="Times New Roman" w:eastAsia="Times New Roman" w:hAnsi="Times New Roman" w:cs="Times New Roman"/>
          <w:i/>
          <w:sz w:val="24"/>
          <w:szCs w:val="24"/>
        </w:rPr>
        <w:t>&lt; umetnuti &gt;</w:t>
      </w:r>
    </w:p>
    <w:p w14:paraId="38633138" w14:textId="77777777" w:rsidR="00D757E3" w:rsidRPr="00D757E3" w:rsidRDefault="00D757E3" w:rsidP="00D757E3">
      <w:pPr>
        <w:spacing w:after="120"/>
        <w:jc w:val="center"/>
        <w:rPr>
          <w:rFonts w:ascii="Times New Roman" w:hAnsi="Times New Roman" w:cs="Times New Roman"/>
          <w:b/>
          <w:bCs/>
          <w:sz w:val="28"/>
          <w:szCs w:val="28"/>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ED6C7" w14:textId="77777777" w:rsidR="00B64C40" w:rsidRDefault="00B64C40" w:rsidP="00EC4A16">
      <w:pPr>
        <w:spacing w:after="0" w:line="240" w:lineRule="auto"/>
      </w:pPr>
      <w:r>
        <w:separator/>
      </w:r>
    </w:p>
  </w:endnote>
  <w:endnote w:type="continuationSeparator" w:id="0">
    <w:p w14:paraId="1DCB60A5" w14:textId="77777777" w:rsidR="00B64C40" w:rsidRDefault="00B64C40"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10269E">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10269E">
              <w:rPr>
                <w:rFonts w:ascii="Times New Roman" w:hAnsi="Times New Roman" w:cs="Times New Roman"/>
                <w:b/>
                <w:bCs/>
                <w:noProof/>
                <w:sz w:val="18"/>
                <w:szCs w:val="18"/>
              </w:rPr>
              <w:t>5</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7A14D" w14:textId="77777777" w:rsidR="00B64C40" w:rsidRDefault="00B64C40" w:rsidP="00EC4A16">
      <w:pPr>
        <w:spacing w:after="0" w:line="240" w:lineRule="auto"/>
      </w:pPr>
      <w:r>
        <w:separator/>
      </w:r>
    </w:p>
  </w:footnote>
  <w:footnote w:type="continuationSeparator" w:id="0">
    <w:p w14:paraId="30EC0E7E" w14:textId="77777777" w:rsidR="00B64C40" w:rsidRDefault="00B64C40" w:rsidP="00EC4A16">
      <w:pPr>
        <w:spacing w:after="0" w:line="240" w:lineRule="auto"/>
      </w:pPr>
      <w:r>
        <w:continuationSeparator/>
      </w:r>
    </w:p>
  </w:footnote>
  <w:footnote w:id="1">
    <w:p w14:paraId="3ED090BC" w14:textId="06096FDD" w:rsidR="00725115" w:rsidRDefault="00725115">
      <w:pPr>
        <w:pStyle w:val="FootnoteText"/>
      </w:pPr>
      <w:r>
        <w:rPr>
          <w:rStyle w:val="FootnoteReference"/>
        </w:rPr>
        <w:footnoteRef/>
      </w:r>
      <w:r>
        <w:t xml:space="preserve"> </w:t>
      </w:r>
      <w:r w:rsidRPr="00725115">
        <w:t>Prilog Završnom izvješću nadzornog inženjera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77777777" w:rsidR="00640200" w:rsidRPr="00EE4CD5" w:rsidRDefault="00640200" w:rsidP="00640200">
    <w:pPr>
      <w:pStyle w:val="Zaglavlje1"/>
      <w:rPr>
        <w:noProof/>
        <w:sz w:val="20"/>
        <w:szCs w:val="20"/>
        <w:lang w:eastAsia="hr-HR"/>
      </w:rPr>
    </w:pPr>
    <w:r>
      <w:rPr>
        <w:noProof/>
        <w:lang w:val="en-GB" w:eastAsia="en-GB"/>
      </w:rPr>
      <w:drawing>
        <wp:anchor distT="0" distB="0" distL="0" distR="0" simplePos="0" relativeHeight="251661312" behindDoc="0" locked="0" layoutInCell="1" allowOverlap="1" wp14:anchorId="28A72BA0" wp14:editId="3041591D">
          <wp:simplePos x="0" y="0"/>
          <wp:positionH relativeFrom="page">
            <wp:posOffset>4252595</wp:posOffset>
          </wp:positionH>
          <wp:positionV relativeFrom="paragraph">
            <wp:posOffset>92858</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sidRPr="002071A0">
      <w:rPr>
        <w:rFonts w:ascii="Times New Roman" w:eastAsia="Times New Roman" w:hAnsi="Times New Roman"/>
        <w:bCs/>
        <w:noProof/>
        <w:color w:val="595959"/>
        <w:sz w:val="18"/>
        <w:szCs w:val="18"/>
        <w:lang w:val="en-GB" w:eastAsia="en-GB"/>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Pr>
        <w:rFonts w:ascii="Arial" w:eastAsia="Arial" w:hAnsi="Arial" w:cs="Arial"/>
        <w:noProof/>
        <w:lang w:val="en-GB" w:eastAsia="en-GB"/>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Pr="002071A0">
      <w:rPr>
        <w:rFonts w:ascii="Times New Roman" w:eastAsia="Times New Roman" w:hAnsi="Times New Roman"/>
        <w:bCs/>
        <w:noProof/>
        <w:color w:val="595959"/>
        <w:sz w:val="18"/>
        <w:szCs w:val="18"/>
        <w:lang w:val="en-GB" w:eastAsia="en-GB"/>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AE4"/>
    <w:rsid w:val="000254D9"/>
    <w:rsid w:val="00030B72"/>
    <w:rsid w:val="00033A6F"/>
    <w:rsid w:val="00041744"/>
    <w:rsid w:val="000427C8"/>
    <w:rsid w:val="0004454F"/>
    <w:rsid w:val="00054D83"/>
    <w:rsid w:val="0006196C"/>
    <w:rsid w:val="000626AB"/>
    <w:rsid w:val="0006498B"/>
    <w:rsid w:val="0006552C"/>
    <w:rsid w:val="000675C0"/>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10269E"/>
    <w:rsid w:val="001148FE"/>
    <w:rsid w:val="00115FF7"/>
    <w:rsid w:val="00121122"/>
    <w:rsid w:val="00131B4F"/>
    <w:rsid w:val="00136062"/>
    <w:rsid w:val="00142EEA"/>
    <w:rsid w:val="001434E2"/>
    <w:rsid w:val="00143D9B"/>
    <w:rsid w:val="00144B48"/>
    <w:rsid w:val="0014602E"/>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66026"/>
    <w:rsid w:val="002727E8"/>
    <w:rsid w:val="00287B12"/>
    <w:rsid w:val="00287D34"/>
    <w:rsid w:val="00292F46"/>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F52"/>
    <w:rsid w:val="00342013"/>
    <w:rsid w:val="00344193"/>
    <w:rsid w:val="00345139"/>
    <w:rsid w:val="0034536A"/>
    <w:rsid w:val="00352104"/>
    <w:rsid w:val="00374C03"/>
    <w:rsid w:val="00376552"/>
    <w:rsid w:val="003769F8"/>
    <w:rsid w:val="00383930"/>
    <w:rsid w:val="003869A6"/>
    <w:rsid w:val="00391575"/>
    <w:rsid w:val="003916D0"/>
    <w:rsid w:val="00395321"/>
    <w:rsid w:val="003B228B"/>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51A73"/>
    <w:rsid w:val="0055423C"/>
    <w:rsid w:val="00557335"/>
    <w:rsid w:val="00557E86"/>
    <w:rsid w:val="00564147"/>
    <w:rsid w:val="00571BDD"/>
    <w:rsid w:val="00572D5D"/>
    <w:rsid w:val="00574F50"/>
    <w:rsid w:val="00575256"/>
    <w:rsid w:val="00591ABF"/>
    <w:rsid w:val="00592E3E"/>
    <w:rsid w:val="00597556"/>
    <w:rsid w:val="005A349F"/>
    <w:rsid w:val="005B7004"/>
    <w:rsid w:val="005C1BAB"/>
    <w:rsid w:val="005C2A98"/>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B0E57"/>
    <w:rsid w:val="006B7008"/>
    <w:rsid w:val="006D68F8"/>
    <w:rsid w:val="006E0DC7"/>
    <w:rsid w:val="006F2DF5"/>
    <w:rsid w:val="006F4746"/>
    <w:rsid w:val="0070722A"/>
    <w:rsid w:val="007074CF"/>
    <w:rsid w:val="0071385D"/>
    <w:rsid w:val="00722776"/>
    <w:rsid w:val="00725115"/>
    <w:rsid w:val="0072778E"/>
    <w:rsid w:val="007345D0"/>
    <w:rsid w:val="0075012D"/>
    <w:rsid w:val="00756337"/>
    <w:rsid w:val="007615BA"/>
    <w:rsid w:val="007623D7"/>
    <w:rsid w:val="00773EB9"/>
    <w:rsid w:val="0077692F"/>
    <w:rsid w:val="00782F1C"/>
    <w:rsid w:val="00785552"/>
    <w:rsid w:val="00793E97"/>
    <w:rsid w:val="007947FB"/>
    <w:rsid w:val="00796FA0"/>
    <w:rsid w:val="007A2544"/>
    <w:rsid w:val="007A51C9"/>
    <w:rsid w:val="007A5676"/>
    <w:rsid w:val="007A7574"/>
    <w:rsid w:val="007B0B8C"/>
    <w:rsid w:val="007B2E91"/>
    <w:rsid w:val="007C23D9"/>
    <w:rsid w:val="007C3AD9"/>
    <w:rsid w:val="007C7BC6"/>
    <w:rsid w:val="007D61C0"/>
    <w:rsid w:val="007D61DA"/>
    <w:rsid w:val="007E1F7F"/>
    <w:rsid w:val="007E504A"/>
    <w:rsid w:val="007E7199"/>
    <w:rsid w:val="007F269B"/>
    <w:rsid w:val="007F30F9"/>
    <w:rsid w:val="00815D76"/>
    <w:rsid w:val="008164F1"/>
    <w:rsid w:val="00816527"/>
    <w:rsid w:val="00817C7E"/>
    <w:rsid w:val="0082221A"/>
    <w:rsid w:val="00823BAB"/>
    <w:rsid w:val="00830E77"/>
    <w:rsid w:val="0083290B"/>
    <w:rsid w:val="00832BB7"/>
    <w:rsid w:val="0083547E"/>
    <w:rsid w:val="00840C3E"/>
    <w:rsid w:val="008445DA"/>
    <w:rsid w:val="00845F0C"/>
    <w:rsid w:val="00853360"/>
    <w:rsid w:val="008540C9"/>
    <w:rsid w:val="00865999"/>
    <w:rsid w:val="00865D3D"/>
    <w:rsid w:val="00866F03"/>
    <w:rsid w:val="008778CF"/>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E0060"/>
    <w:rsid w:val="009E0F4A"/>
    <w:rsid w:val="009E29E2"/>
    <w:rsid w:val="009E68AE"/>
    <w:rsid w:val="009F004E"/>
    <w:rsid w:val="009F7EF9"/>
    <w:rsid w:val="00A10C02"/>
    <w:rsid w:val="00A13176"/>
    <w:rsid w:val="00A13ADD"/>
    <w:rsid w:val="00A21C80"/>
    <w:rsid w:val="00A25DFA"/>
    <w:rsid w:val="00A2679B"/>
    <w:rsid w:val="00A31144"/>
    <w:rsid w:val="00A3257E"/>
    <w:rsid w:val="00A3383B"/>
    <w:rsid w:val="00A3557E"/>
    <w:rsid w:val="00A36323"/>
    <w:rsid w:val="00A50085"/>
    <w:rsid w:val="00A55030"/>
    <w:rsid w:val="00A56B4C"/>
    <w:rsid w:val="00A70D13"/>
    <w:rsid w:val="00A715DE"/>
    <w:rsid w:val="00A736F1"/>
    <w:rsid w:val="00A76609"/>
    <w:rsid w:val="00A771E3"/>
    <w:rsid w:val="00A82740"/>
    <w:rsid w:val="00A90A07"/>
    <w:rsid w:val="00A9725E"/>
    <w:rsid w:val="00AA42A4"/>
    <w:rsid w:val="00AB3E3E"/>
    <w:rsid w:val="00AB43AC"/>
    <w:rsid w:val="00AD0487"/>
    <w:rsid w:val="00AD738C"/>
    <w:rsid w:val="00AE09F8"/>
    <w:rsid w:val="00AE68AF"/>
    <w:rsid w:val="00AE6B6D"/>
    <w:rsid w:val="00AF2339"/>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6B51"/>
    <w:rsid w:val="00C67F64"/>
    <w:rsid w:val="00C73A6A"/>
    <w:rsid w:val="00C746C3"/>
    <w:rsid w:val="00C8714E"/>
    <w:rsid w:val="00C93B4F"/>
    <w:rsid w:val="00C9412B"/>
    <w:rsid w:val="00CA07B3"/>
    <w:rsid w:val="00CA409E"/>
    <w:rsid w:val="00CA5F82"/>
    <w:rsid w:val="00CA65F6"/>
    <w:rsid w:val="00CB2C75"/>
    <w:rsid w:val="00CC0689"/>
    <w:rsid w:val="00CC58DC"/>
    <w:rsid w:val="00CD27BF"/>
    <w:rsid w:val="00CD449E"/>
    <w:rsid w:val="00CE2548"/>
    <w:rsid w:val="00CE5C3F"/>
    <w:rsid w:val="00CF2194"/>
    <w:rsid w:val="00CF65B0"/>
    <w:rsid w:val="00D113B5"/>
    <w:rsid w:val="00D12C0D"/>
    <w:rsid w:val="00D354CA"/>
    <w:rsid w:val="00D35AA5"/>
    <w:rsid w:val="00D41EF7"/>
    <w:rsid w:val="00D432CB"/>
    <w:rsid w:val="00D5238C"/>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E3F8D"/>
    <w:rsid w:val="00DE604B"/>
    <w:rsid w:val="00DF0D75"/>
    <w:rsid w:val="00DF2192"/>
    <w:rsid w:val="00DF2711"/>
    <w:rsid w:val="00DF2C84"/>
    <w:rsid w:val="00DF65AC"/>
    <w:rsid w:val="00E142EE"/>
    <w:rsid w:val="00E162D6"/>
    <w:rsid w:val="00E21ACE"/>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B4AEC"/>
    <w:rsid w:val="00EC4A16"/>
    <w:rsid w:val="00EC5FCA"/>
    <w:rsid w:val="00ED4F49"/>
    <w:rsid w:val="00ED67DF"/>
    <w:rsid w:val="00EE1EB3"/>
    <w:rsid w:val="00EE4CD5"/>
    <w:rsid w:val="00EE5A6E"/>
    <w:rsid w:val="00EE5B30"/>
    <w:rsid w:val="00EE6D16"/>
    <w:rsid w:val="00EF1187"/>
    <w:rsid w:val="00EF200A"/>
    <w:rsid w:val="00EF6DA9"/>
    <w:rsid w:val="00F006F6"/>
    <w:rsid w:val="00F040F7"/>
    <w:rsid w:val="00F14AE7"/>
    <w:rsid w:val="00F239D2"/>
    <w:rsid w:val="00F33796"/>
    <w:rsid w:val="00F532A7"/>
    <w:rsid w:val="00F53E56"/>
    <w:rsid w:val="00F61FB6"/>
    <w:rsid w:val="00F67C3B"/>
    <w:rsid w:val="00F70B9E"/>
    <w:rsid w:val="00F71CA7"/>
    <w:rsid w:val="00F73FEE"/>
    <w:rsid w:val="00F746B5"/>
    <w:rsid w:val="00F75088"/>
    <w:rsid w:val="00F81B9D"/>
    <w:rsid w:val="00F8549A"/>
    <w:rsid w:val="00FA1EE7"/>
    <w:rsid w:val="00FA2D3D"/>
    <w:rsid w:val="00FB3C52"/>
    <w:rsid w:val="00FB4034"/>
    <w:rsid w:val="00FC234F"/>
    <w:rsid w:val="00FC3798"/>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EF4A-249A-4D6F-88B6-C9B2706F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Ivana Vukosavić Mitrov</cp:lastModifiedBy>
  <cp:revision>6</cp:revision>
  <cp:lastPrinted>2019-03-20T11:15:00Z</cp:lastPrinted>
  <dcterms:created xsi:type="dcterms:W3CDTF">2023-02-15T12:53:00Z</dcterms:created>
  <dcterms:modified xsi:type="dcterms:W3CDTF">2023-03-01T11:52:00Z</dcterms:modified>
</cp:coreProperties>
</file>