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E9A97" w14:textId="77777777" w:rsidR="009315B2" w:rsidRPr="009315B2" w:rsidRDefault="009315B2" w:rsidP="009315B2">
      <w:pPr>
        <w:spacing w:after="160" w:line="259" w:lineRule="auto"/>
        <w:jc w:val="center"/>
        <w:rPr>
          <w:rFonts w:ascii="Gill Sans MT" w:eastAsiaTheme="minorHAnsi" w:hAnsi="Gill Sans MT" w:cstheme="minorBidi"/>
          <w:b/>
          <w:sz w:val="28"/>
          <w:szCs w:val="28"/>
          <w:lang w:eastAsia="en-US"/>
        </w:rPr>
      </w:pPr>
      <w:bookmarkStart w:id="0" w:name="_Toc70595767"/>
      <w:r w:rsidRPr="009315B2">
        <w:rPr>
          <w:rFonts w:ascii="Gill Sans MT" w:eastAsiaTheme="minorHAnsi" w:hAnsi="Gill Sans MT" w:cstheme="minorBidi"/>
          <w:b/>
          <w:sz w:val="28"/>
          <w:szCs w:val="28"/>
          <w:lang w:eastAsia="en-US"/>
        </w:rPr>
        <w:t>Obrazac usklađenosti projektnog prijedloga s načelom DNSH - DNSH kontrolna lista</w:t>
      </w:r>
    </w:p>
    <w:p w14:paraId="29CD8FEA" w14:textId="77777777" w:rsidR="009315B2" w:rsidRDefault="009315B2" w:rsidP="006A12B4">
      <w:pPr>
        <w:spacing w:after="160" w:line="259" w:lineRule="auto"/>
        <w:jc w:val="left"/>
        <w:rPr>
          <w:rFonts w:ascii="Arial Narrow" w:eastAsiaTheme="minorHAnsi" w:hAnsi="Arial Narrow" w:cstheme="minorBidi"/>
          <w:b/>
          <w:sz w:val="32"/>
          <w:szCs w:val="32"/>
          <w:lang w:eastAsia="en-US"/>
        </w:rPr>
      </w:pPr>
    </w:p>
    <w:p w14:paraId="4E16BDA1" w14:textId="77777777" w:rsidR="006A12B4" w:rsidRPr="009315B2" w:rsidRDefault="006A12B4" w:rsidP="006A12B4">
      <w:pPr>
        <w:spacing w:after="160" w:line="259" w:lineRule="auto"/>
        <w:jc w:val="left"/>
        <w:rPr>
          <w:rFonts w:ascii="Arial Narrow" w:eastAsiaTheme="minorHAnsi" w:hAnsi="Arial Narrow" w:cstheme="minorBidi"/>
          <w:b/>
          <w:sz w:val="28"/>
          <w:szCs w:val="28"/>
          <w:lang w:eastAsia="en-US"/>
        </w:rPr>
      </w:pPr>
      <w:r w:rsidRPr="009315B2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C1.3. Unaprjeđenje vodnog gospodarstva i gospodarenja otpadom</w:t>
      </w:r>
      <w:bookmarkEnd w:id="0"/>
      <w:r w:rsidRPr="009315B2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</w:t>
      </w:r>
    </w:p>
    <w:p w14:paraId="5975971D" w14:textId="77777777" w:rsidR="002305BA" w:rsidRPr="009315B2" w:rsidRDefault="002305BA" w:rsidP="004E0AED">
      <w:pPr>
        <w:spacing w:after="160" w:line="259" w:lineRule="auto"/>
        <w:jc w:val="left"/>
        <w:rPr>
          <w:rFonts w:ascii="Arial Narrow" w:eastAsiaTheme="minorHAnsi" w:hAnsi="Arial Narrow" w:cstheme="minorBidi"/>
          <w:b/>
          <w:color w:val="2C398B"/>
          <w:sz w:val="24"/>
          <w:szCs w:val="24"/>
          <w:lang w:eastAsia="en-US"/>
        </w:rPr>
      </w:pPr>
      <w:r w:rsidRPr="009315B2">
        <w:rPr>
          <w:rFonts w:ascii="Arial Narrow" w:eastAsiaTheme="minorHAnsi" w:hAnsi="Arial Narrow" w:cstheme="minorBidi"/>
          <w:b/>
          <w:color w:val="2C398B"/>
          <w:sz w:val="24"/>
          <w:szCs w:val="24"/>
          <w:lang w:eastAsia="en-US"/>
        </w:rPr>
        <w:t>C1.3. R2 Provedba projekata za održivo gospodarenje otpadom</w:t>
      </w:r>
    </w:p>
    <w:p w14:paraId="0F331445" w14:textId="77777777" w:rsidR="009315B2" w:rsidRPr="00E50BB2" w:rsidRDefault="009315B2" w:rsidP="009315B2">
      <w:pPr>
        <w:spacing w:after="0"/>
        <w:rPr>
          <w:rFonts w:ascii="Vollkorn" w:hAnsi="Vollkorn" w:cs="Arial"/>
          <w:i/>
          <w:noProof/>
          <w:color w:val="000000" w:themeColor="text1"/>
        </w:rPr>
      </w:pPr>
      <w:r w:rsidRPr="00E50BB2">
        <w:rPr>
          <w:rFonts w:ascii="Vollkorn" w:hAnsi="Vollkorn" w:cs="Arial"/>
          <w:noProof/>
          <w:color w:val="000000" w:themeColor="text1"/>
        </w:rPr>
        <w:t>Potrebno je ispuniti posljednji stupac u kojem će se obrazložiti na koji način konkretan projektni pri</w:t>
      </w:r>
      <w:bookmarkStart w:id="1" w:name="_GoBack"/>
      <w:bookmarkEnd w:id="1"/>
      <w:r w:rsidRPr="00E50BB2">
        <w:rPr>
          <w:rFonts w:ascii="Vollkorn" w:hAnsi="Vollkorn" w:cs="Arial"/>
          <w:noProof/>
          <w:color w:val="000000" w:themeColor="text1"/>
        </w:rPr>
        <w:t>jedlog  zadovoljava uvijete iz pojedinog zahtjeva DNSH, odnosono na koji način je sukladan s obrazloženjem navedenim u stupcu Obrazloženja (</w:t>
      </w:r>
      <w:r w:rsidRPr="00E50BB2">
        <w:rPr>
          <w:rFonts w:ascii="Vollkorn" w:hAnsi="Vollkorn" w:cs="Arial"/>
          <w:i/>
          <w:noProof/>
          <w:color w:val="000000" w:themeColor="text1"/>
        </w:rPr>
        <w:t>Obrazloženje ako je odabrano „Ne“ i</w:t>
      </w:r>
    </w:p>
    <w:p w14:paraId="359D61A6" w14:textId="77777777" w:rsidR="009315B2" w:rsidRPr="00E50BB2" w:rsidRDefault="009315B2" w:rsidP="00E97E08">
      <w:pPr>
        <w:spacing w:after="0"/>
        <w:jc w:val="left"/>
        <w:rPr>
          <w:rFonts w:ascii="Vollkorn" w:hAnsi="Vollkorn" w:cs="Arial"/>
          <w:noProof/>
          <w:color w:val="000000" w:themeColor="text1"/>
        </w:rPr>
      </w:pPr>
      <w:r w:rsidRPr="00E50BB2">
        <w:rPr>
          <w:rFonts w:ascii="Vollkorn" w:hAnsi="Vollkorn" w:cs="Arial"/>
          <w:i/>
          <w:noProof/>
          <w:color w:val="000000" w:themeColor="text1"/>
        </w:rPr>
        <w:t>Materijalno obrazloženje</w:t>
      </w:r>
      <w:r w:rsidRPr="00E50BB2">
        <w:rPr>
          <w:rFonts w:ascii="Vollkorn" w:hAnsi="Vollkorn" w:cs="Arial"/>
          <w:noProof/>
          <w:color w:val="000000" w:themeColor="text1"/>
        </w:rPr>
        <w:t>) kakvo je dano u okviru NPOO-a.</w:t>
      </w:r>
    </w:p>
    <w:p w14:paraId="71B7FB30" w14:textId="77777777" w:rsidR="0083082B" w:rsidRDefault="0083082B" w:rsidP="004E0AED">
      <w:pPr>
        <w:spacing w:after="160" w:line="259" w:lineRule="auto"/>
        <w:jc w:val="left"/>
        <w:rPr>
          <w:rFonts w:ascii="Arial Narrow" w:eastAsiaTheme="minorHAnsi" w:hAnsi="Arial Narrow" w:cstheme="minorBidi"/>
          <w:b/>
          <w:color w:val="2C398B"/>
          <w:sz w:val="26"/>
          <w:szCs w:val="26"/>
          <w:lang w:eastAsia="en-US"/>
        </w:rPr>
      </w:pPr>
    </w:p>
    <w:p w14:paraId="3A2C5121" w14:textId="77777777" w:rsidR="002305BA" w:rsidRPr="00151E16" w:rsidRDefault="002305BA" w:rsidP="004E0AED">
      <w:pPr>
        <w:spacing w:after="160" w:line="259" w:lineRule="auto"/>
        <w:jc w:val="left"/>
        <w:rPr>
          <w:rFonts w:ascii="Vollkorn" w:hAnsi="Vollkorn"/>
          <w:b/>
        </w:rPr>
      </w:pPr>
      <w:r w:rsidRPr="004E0AED">
        <w:rPr>
          <w:rFonts w:ascii="Arial Narrow" w:eastAsiaTheme="minorHAnsi" w:hAnsi="Arial Narrow" w:cstheme="minorBidi"/>
          <w:b/>
          <w:color w:val="2C398B"/>
          <w:sz w:val="26"/>
          <w:szCs w:val="26"/>
          <w:lang w:eastAsia="en-US"/>
        </w:rPr>
        <w:t>C1.3. R2-I1 Program smanjenja odlaganja otpada</w:t>
      </w:r>
    </w:p>
    <w:p w14:paraId="51314005" w14:textId="77777777" w:rsidR="004E0AED" w:rsidRPr="00E26C8B" w:rsidRDefault="004E0AED" w:rsidP="004E0AED">
      <w:pPr>
        <w:rPr>
          <w:rFonts w:ascii="Arial Narrow" w:hAnsi="Arial Narrow" w:cs="Arial"/>
          <w:b/>
          <w:bCs/>
          <w:szCs w:val="20"/>
        </w:rPr>
      </w:pPr>
      <w:r w:rsidRPr="00E26C8B">
        <w:rPr>
          <w:rFonts w:ascii="Arial Narrow" w:hAnsi="Arial Narrow" w:cs="Arial"/>
          <w:b/>
          <w:bCs/>
          <w:szCs w:val="20"/>
        </w:rPr>
        <w:t>Kontrolna lista</w:t>
      </w:r>
      <w:r>
        <w:rPr>
          <w:rFonts w:ascii="Arial Narrow" w:hAnsi="Arial Narrow" w:cs="Arial"/>
          <w:b/>
          <w:bCs/>
          <w:szCs w:val="20"/>
        </w:rPr>
        <w:t xml:space="preserve"> 1</w:t>
      </w:r>
    </w:p>
    <w:tbl>
      <w:tblPr>
        <w:tblStyle w:val="Reetkatablice"/>
        <w:tblpPr w:leftFromText="181" w:rightFromText="181" w:vertAnchor="text" w:horzAnchor="margin" w:tblpY="1"/>
        <w:tblW w:w="0" w:type="auto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1698"/>
        <w:gridCol w:w="1699"/>
        <w:gridCol w:w="851"/>
        <w:gridCol w:w="850"/>
        <w:gridCol w:w="3918"/>
        <w:gridCol w:w="3918"/>
      </w:tblGrid>
      <w:tr w:rsidR="009315B2" w:rsidRPr="004E0AED" w14:paraId="35B9E3C7" w14:textId="77777777" w:rsidTr="00C66E5E">
        <w:tc>
          <w:tcPr>
            <w:tcW w:w="3397" w:type="dxa"/>
            <w:gridSpan w:val="2"/>
            <w:shd w:val="clear" w:color="auto" w:fill="2C398B"/>
          </w:tcPr>
          <w:p w14:paraId="6971E245" w14:textId="77777777" w:rsidR="009315B2" w:rsidRPr="004E0AED" w:rsidRDefault="009315B2" w:rsidP="00F51E83">
            <w:pPr>
              <w:spacing w:after="0"/>
              <w:jc w:val="center"/>
              <w:rPr>
                <w:rFonts w:ascii="Vollkorn" w:hAnsi="Vollkorn" w:cstheme="majorHAnsi"/>
                <w:b/>
                <w:bCs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/>
                <w:i/>
                <w:noProof/>
                <w:color w:val="FFFFFF" w:themeColor="background1"/>
                <w:sz w:val="18"/>
                <w:szCs w:val="18"/>
              </w:rPr>
              <w:t>Navedite za koje je od sljedećih okolišnih ciljeva potrebna materijalna ocjena usklađenosti mjere s načelom nenanošenja bitne štete</w:t>
            </w:r>
            <w:r w:rsidRPr="004E0AED">
              <w:rPr>
                <w:rFonts w:ascii="Vollkorn" w:hAnsi="Vollkorn" w:cstheme="maj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shd w:val="clear" w:color="auto" w:fill="2C398B"/>
          </w:tcPr>
          <w:p w14:paraId="510264D4" w14:textId="77777777" w:rsidR="009315B2" w:rsidRPr="004E0AED" w:rsidRDefault="009315B2" w:rsidP="00F51E83">
            <w:pPr>
              <w:spacing w:after="0"/>
              <w:jc w:val="center"/>
              <w:rPr>
                <w:rFonts w:ascii="Vollkorn" w:hAnsi="Vollkor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 w:cs="Arial"/>
                <w:b/>
                <w:bCs/>
                <w:color w:val="FFFFFF" w:themeColor="background1"/>
                <w:sz w:val="18"/>
                <w:szCs w:val="18"/>
              </w:rPr>
              <w:t>Da</w:t>
            </w:r>
          </w:p>
        </w:tc>
        <w:tc>
          <w:tcPr>
            <w:tcW w:w="850" w:type="dxa"/>
            <w:shd w:val="clear" w:color="auto" w:fill="2C398B"/>
          </w:tcPr>
          <w:p w14:paraId="63E30B34" w14:textId="77777777" w:rsidR="009315B2" w:rsidRPr="004E0AED" w:rsidRDefault="009315B2" w:rsidP="00F51E83">
            <w:pPr>
              <w:spacing w:after="0"/>
              <w:jc w:val="center"/>
              <w:rPr>
                <w:rFonts w:ascii="Vollkorn" w:hAnsi="Vollkor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 w:cs="Arial"/>
                <w:b/>
                <w:bCs/>
                <w:color w:val="FFFFFF" w:themeColor="background1"/>
                <w:sz w:val="18"/>
                <w:szCs w:val="18"/>
              </w:rPr>
              <w:t>Ne</w:t>
            </w:r>
          </w:p>
        </w:tc>
        <w:tc>
          <w:tcPr>
            <w:tcW w:w="3918" w:type="dxa"/>
            <w:shd w:val="clear" w:color="auto" w:fill="2C398B"/>
          </w:tcPr>
          <w:p w14:paraId="1831C334" w14:textId="77777777" w:rsidR="009315B2" w:rsidRPr="004E0AED" w:rsidRDefault="009315B2" w:rsidP="00F51E83">
            <w:pPr>
              <w:spacing w:after="0"/>
              <w:jc w:val="center"/>
              <w:rPr>
                <w:rFonts w:ascii="Vollkorn" w:hAnsi="Vollkorn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/>
                <w:i/>
                <w:noProof/>
                <w:color w:val="FFFFFF" w:themeColor="background1"/>
                <w:sz w:val="18"/>
                <w:szCs w:val="18"/>
              </w:rPr>
              <w:t>Obrazloženje ako je odabrano „Ne”</w:t>
            </w:r>
          </w:p>
        </w:tc>
        <w:tc>
          <w:tcPr>
            <w:tcW w:w="3918" w:type="dxa"/>
            <w:shd w:val="clear" w:color="auto" w:fill="2C398B"/>
          </w:tcPr>
          <w:p w14:paraId="481A584A" w14:textId="77777777" w:rsidR="009315B2" w:rsidRPr="004E0AED" w:rsidRDefault="009315B2" w:rsidP="00F51E83">
            <w:pPr>
              <w:spacing w:after="0"/>
              <w:jc w:val="center"/>
              <w:rPr>
                <w:rFonts w:ascii="Vollkorn" w:hAnsi="Vollkorn"/>
                <w:i/>
                <w:noProof/>
                <w:color w:val="FFFFFF" w:themeColor="background1"/>
                <w:sz w:val="18"/>
                <w:szCs w:val="18"/>
              </w:rPr>
            </w:pPr>
            <w:r w:rsidRPr="009315B2">
              <w:rPr>
                <w:rFonts w:ascii="Vollkorn" w:hAnsi="Vollkorn"/>
                <w:b/>
                <w:i/>
                <w:iCs/>
                <w:noProof/>
                <w:color w:val="FFFFFF" w:themeColor="background1"/>
                <w:sz w:val="18"/>
                <w:szCs w:val="18"/>
              </w:rPr>
              <w:t>Obrazloženje sukladnosti projektnog prijedloga s navedenim načelima  (ispunjava prijavitelj)</w:t>
            </w:r>
          </w:p>
        </w:tc>
      </w:tr>
      <w:tr w:rsidR="009738AB" w:rsidRPr="004E0AED" w14:paraId="4476C6A8" w14:textId="77777777" w:rsidTr="009738AB">
        <w:tc>
          <w:tcPr>
            <w:tcW w:w="1698" w:type="dxa"/>
            <w:vMerge w:val="restart"/>
          </w:tcPr>
          <w:p w14:paraId="37641B6A" w14:textId="77777777" w:rsidR="009738AB" w:rsidRPr="004E0AED" w:rsidRDefault="009738AB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Ublažavanje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promjena</w:t>
            </w:r>
            <w:proofErr w:type="spellEnd"/>
          </w:p>
        </w:tc>
        <w:tc>
          <w:tcPr>
            <w:tcW w:w="1699" w:type="dxa"/>
          </w:tcPr>
          <w:p w14:paraId="167C8E59" w14:textId="77777777" w:rsidR="009738AB" w:rsidRPr="004E0AED" w:rsidRDefault="009738AB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Kompostiranje</w:t>
            </w:r>
            <w:proofErr w:type="spellEnd"/>
          </w:p>
        </w:tc>
        <w:tc>
          <w:tcPr>
            <w:tcW w:w="851" w:type="dxa"/>
          </w:tcPr>
          <w:p w14:paraId="436DA1D5" w14:textId="77777777" w:rsidR="009738AB" w:rsidRPr="004E0AED" w:rsidRDefault="009738AB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5FE63661" w14:textId="77777777" w:rsidR="009738AB" w:rsidRPr="004E0AED" w:rsidRDefault="009738AB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18" w:type="dxa"/>
            <w:vMerge w:val="restart"/>
          </w:tcPr>
          <w:p w14:paraId="1DC10474" w14:textId="77777777" w:rsidR="009738AB" w:rsidRPr="004E0AED" w:rsidRDefault="009738AB" w:rsidP="00F51E8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18" w:type="dxa"/>
            <w:vMerge w:val="restart"/>
            <w:vAlign w:val="center"/>
          </w:tcPr>
          <w:p w14:paraId="10D4881F" w14:textId="002DA7F2" w:rsidR="009738AB" w:rsidRPr="004E0AED" w:rsidRDefault="008F7893" w:rsidP="008F789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Ne </w:t>
            </w:r>
            <w:proofErr w:type="spellStart"/>
            <w:r>
              <w:rPr>
                <w:rFonts w:ascii="Vollkorn" w:hAnsi="Vollkorn"/>
                <w:sz w:val="18"/>
                <w:szCs w:val="18"/>
              </w:rPr>
              <w:t>ispunjava</w:t>
            </w:r>
            <w:proofErr w:type="spellEnd"/>
            <w:r>
              <w:rPr>
                <w:rFonts w:ascii="Vollkorn" w:hAnsi="Vollkorn"/>
                <w:sz w:val="18"/>
                <w:szCs w:val="18"/>
              </w:rPr>
              <w:t xml:space="preserve"> se</w:t>
            </w:r>
            <w:r>
              <w:rPr>
                <w:rFonts w:ascii="Cambria Math" w:hAnsi="Cambria Math"/>
                <w:sz w:val="18"/>
                <w:szCs w:val="18"/>
              </w:rPr>
              <w:t>*</w:t>
            </w:r>
          </w:p>
        </w:tc>
      </w:tr>
      <w:tr w:rsidR="009738AB" w:rsidRPr="004E0AED" w14:paraId="686560A2" w14:textId="77777777" w:rsidTr="00C66E5E">
        <w:tc>
          <w:tcPr>
            <w:tcW w:w="1698" w:type="dxa"/>
            <w:vMerge/>
          </w:tcPr>
          <w:p w14:paraId="18B95D52" w14:textId="77777777" w:rsidR="009738AB" w:rsidRPr="004E0AED" w:rsidRDefault="009738AB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1699" w:type="dxa"/>
          </w:tcPr>
          <w:p w14:paraId="1A3DC285" w14:textId="77777777" w:rsidR="009738AB" w:rsidRPr="004E0AED" w:rsidRDefault="009738AB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Postrojenje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anaerobnu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digestiju</w:t>
            </w:r>
            <w:proofErr w:type="spellEnd"/>
          </w:p>
        </w:tc>
        <w:tc>
          <w:tcPr>
            <w:tcW w:w="851" w:type="dxa"/>
          </w:tcPr>
          <w:p w14:paraId="4E5C36D7" w14:textId="77777777" w:rsidR="009738AB" w:rsidRPr="004E0AED" w:rsidRDefault="009738AB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42B0BDBB" w14:textId="77777777" w:rsidR="009738AB" w:rsidRPr="004E0AED" w:rsidRDefault="009738AB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18" w:type="dxa"/>
            <w:vMerge/>
          </w:tcPr>
          <w:p w14:paraId="116B90CB" w14:textId="77777777" w:rsidR="009738AB" w:rsidRPr="004E0AED" w:rsidRDefault="009738AB" w:rsidP="00F51E8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18" w:type="dxa"/>
            <w:vMerge/>
          </w:tcPr>
          <w:p w14:paraId="669E77C3" w14:textId="77777777" w:rsidR="009738AB" w:rsidRPr="004E0AED" w:rsidRDefault="009738AB" w:rsidP="00F51E8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</w:tr>
      <w:tr w:rsidR="009738AB" w:rsidRPr="004E0AED" w14:paraId="506918B6" w14:textId="77777777" w:rsidTr="00C66E5E">
        <w:tc>
          <w:tcPr>
            <w:tcW w:w="3397" w:type="dxa"/>
            <w:gridSpan w:val="2"/>
          </w:tcPr>
          <w:p w14:paraId="4085B147" w14:textId="77777777" w:rsidR="009738AB" w:rsidRPr="004E0AED" w:rsidRDefault="009738AB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Prilagodba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promjenama</w:t>
            </w:r>
            <w:proofErr w:type="spellEnd"/>
          </w:p>
        </w:tc>
        <w:tc>
          <w:tcPr>
            <w:tcW w:w="851" w:type="dxa"/>
          </w:tcPr>
          <w:p w14:paraId="63EEC131" w14:textId="77777777" w:rsidR="009738AB" w:rsidRPr="004E0AED" w:rsidRDefault="009738AB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597661D2" w14:textId="77777777" w:rsidR="009738AB" w:rsidRPr="004E0AED" w:rsidRDefault="009738AB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18" w:type="dxa"/>
          </w:tcPr>
          <w:p w14:paraId="2D939A25" w14:textId="77777777" w:rsidR="009738AB" w:rsidRPr="004E0AED" w:rsidRDefault="009738AB" w:rsidP="00F51E8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18" w:type="dxa"/>
          </w:tcPr>
          <w:p w14:paraId="128D43A7" w14:textId="72909174" w:rsidR="009738AB" w:rsidRPr="004E0AED" w:rsidRDefault="008F7893" w:rsidP="008F789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Ne </w:t>
            </w:r>
            <w:proofErr w:type="spellStart"/>
            <w:r>
              <w:rPr>
                <w:rFonts w:ascii="Vollkorn" w:hAnsi="Vollkorn"/>
                <w:sz w:val="18"/>
                <w:szCs w:val="18"/>
              </w:rPr>
              <w:t>ispunjava</w:t>
            </w:r>
            <w:proofErr w:type="spellEnd"/>
            <w:r>
              <w:rPr>
                <w:rFonts w:ascii="Vollkorn" w:hAnsi="Vollkorn"/>
                <w:sz w:val="18"/>
                <w:szCs w:val="18"/>
              </w:rPr>
              <w:t xml:space="preserve"> se</w:t>
            </w:r>
            <w:r>
              <w:rPr>
                <w:rFonts w:ascii="Cambria Math" w:hAnsi="Cambria Math"/>
                <w:sz w:val="18"/>
                <w:szCs w:val="18"/>
              </w:rPr>
              <w:t>*</w:t>
            </w:r>
          </w:p>
        </w:tc>
      </w:tr>
      <w:tr w:rsidR="009738AB" w:rsidRPr="004E0AED" w14:paraId="5E0534DD" w14:textId="77777777" w:rsidTr="00C66E5E">
        <w:tc>
          <w:tcPr>
            <w:tcW w:w="3397" w:type="dxa"/>
            <w:gridSpan w:val="2"/>
          </w:tcPr>
          <w:p w14:paraId="6AE5DD0D" w14:textId="77777777" w:rsidR="009738AB" w:rsidRPr="004E0AED" w:rsidRDefault="009738AB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Održivo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korištenje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morskih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resursa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0F5E1AE3" w14:textId="77777777" w:rsidR="009738AB" w:rsidRPr="004E0AED" w:rsidRDefault="009738AB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283A1DF4" w14:textId="77777777" w:rsidR="009738AB" w:rsidRPr="004E0AED" w:rsidRDefault="009738AB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18" w:type="dxa"/>
          </w:tcPr>
          <w:p w14:paraId="589BE8EA" w14:textId="77777777" w:rsidR="009738AB" w:rsidRPr="004E0AED" w:rsidRDefault="009738AB" w:rsidP="00F51E8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18" w:type="dxa"/>
          </w:tcPr>
          <w:p w14:paraId="70433996" w14:textId="2F29053B" w:rsidR="009738AB" w:rsidRPr="004E0AED" w:rsidRDefault="008F7893" w:rsidP="008F789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8F7893">
              <w:rPr>
                <w:rFonts w:ascii="Vollkorn" w:hAnsi="Vollkorn"/>
                <w:sz w:val="18"/>
                <w:szCs w:val="18"/>
              </w:rPr>
              <w:t xml:space="preserve">Ne </w:t>
            </w:r>
            <w:proofErr w:type="spellStart"/>
            <w:r w:rsidRPr="008F7893">
              <w:rPr>
                <w:rFonts w:ascii="Vollkorn" w:hAnsi="Vollkorn"/>
                <w:sz w:val="18"/>
                <w:szCs w:val="18"/>
              </w:rPr>
              <w:t>ispunjava</w:t>
            </w:r>
            <w:proofErr w:type="spellEnd"/>
            <w:r w:rsidRPr="008F7893">
              <w:rPr>
                <w:rFonts w:ascii="Vollkorn" w:hAnsi="Vollkorn"/>
                <w:sz w:val="18"/>
                <w:szCs w:val="18"/>
              </w:rPr>
              <w:t xml:space="preserve"> se</w:t>
            </w:r>
            <w:r>
              <w:rPr>
                <w:rFonts w:ascii="Cambria Math" w:hAnsi="Cambria Math"/>
                <w:sz w:val="18"/>
                <w:szCs w:val="18"/>
              </w:rPr>
              <w:t>*</w:t>
            </w:r>
          </w:p>
        </w:tc>
      </w:tr>
      <w:tr w:rsidR="009315B2" w:rsidRPr="004E0AED" w14:paraId="2377E36C" w14:textId="77777777" w:rsidTr="00C66E5E">
        <w:tc>
          <w:tcPr>
            <w:tcW w:w="3397" w:type="dxa"/>
            <w:gridSpan w:val="2"/>
          </w:tcPr>
          <w:p w14:paraId="08C9E86B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Kružno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gospodarstvo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uključujući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sprečavanje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nastanka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recikliranje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</w:p>
        </w:tc>
        <w:tc>
          <w:tcPr>
            <w:tcW w:w="851" w:type="dxa"/>
          </w:tcPr>
          <w:p w14:paraId="44E5F416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D1D811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3918" w:type="dxa"/>
          </w:tcPr>
          <w:p w14:paraId="415AE97B" w14:textId="77777777" w:rsidR="009315B2" w:rsidRPr="004E0AED" w:rsidRDefault="009315B2" w:rsidP="009315B2">
            <w:pPr>
              <w:pStyle w:val="NormalKomponente"/>
              <w:spacing w:before="0" w:after="12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je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prihvatljiva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intervenciju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oznake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042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Prilogu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Uredbe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uspostavi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Mehanizma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oporavak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otpornost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 </w:t>
            </w:r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koeficijentom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od 100%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izračun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potpore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ciljeve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  <w:p w14:paraId="57BBDD56" w14:textId="77777777" w:rsidR="009315B2" w:rsidRPr="004E0AED" w:rsidRDefault="009315B2" w:rsidP="009315B2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Cilj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priroda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intervencije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izravno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podupiru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cilj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kružnog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gospodarstva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Tehničke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specifikacije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potpore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postrojenjima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lastRenderedPageBreak/>
              <w:t>recikliranje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uvjetovane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ostvarivanjem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stope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konverzije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od 50%. </w:t>
            </w:r>
          </w:p>
        </w:tc>
        <w:tc>
          <w:tcPr>
            <w:tcW w:w="3918" w:type="dxa"/>
          </w:tcPr>
          <w:p w14:paraId="49294AAB" w14:textId="4F5F1559" w:rsidR="00BC4FB9" w:rsidRDefault="00BC4FB9" w:rsidP="00BC4FB9">
            <w:pPr>
              <w:pStyle w:val="NormalKomponente"/>
              <w:spacing w:before="0"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lastRenderedPageBreak/>
              <w:t>Obrazloženje ISPUNJAVA PRIJAVITELJ:</w:t>
            </w:r>
          </w:p>
          <w:p w14:paraId="404EA0B4" w14:textId="50224FAC" w:rsidR="009315B2" w:rsidRPr="004E0AED" w:rsidRDefault="00BC4FB9" w:rsidP="00BC4FB9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O</w:t>
            </w:r>
            <w:r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pisati na koji način konkretan projektni prijedlog  zadovoljava navedena načela i</w:t>
            </w:r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pozvati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na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dokumente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provedene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procedure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kojima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potvrđuje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sukladnost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projektnog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prijedloga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navedenim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načelima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9315B2" w:rsidRPr="004E0AED" w14:paraId="7CB71FBF" w14:textId="77777777" w:rsidTr="00C66E5E">
        <w:trPr>
          <w:trHeight w:val="325"/>
        </w:trPr>
        <w:tc>
          <w:tcPr>
            <w:tcW w:w="1698" w:type="dxa"/>
            <w:vMerge w:val="restart"/>
          </w:tcPr>
          <w:p w14:paraId="495C6B65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lastRenderedPageBreak/>
              <w:t>Sprječavanje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kontrola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onečišćenja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zraka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tla</w:t>
            </w:r>
            <w:proofErr w:type="spellEnd"/>
          </w:p>
        </w:tc>
        <w:tc>
          <w:tcPr>
            <w:tcW w:w="1699" w:type="dxa"/>
          </w:tcPr>
          <w:p w14:paraId="7990CE44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Kompostiranje</w:t>
            </w:r>
            <w:proofErr w:type="spellEnd"/>
          </w:p>
        </w:tc>
        <w:tc>
          <w:tcPr>
            <w:tcW w:w="851" w:type="dxa"/>
          </w:tcPr>
          <w:p w14:paraId="4345F8F8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6E6D1C15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18" w:type="dxa"/>
            <w:vMerge w:val="restart"/>
          </w:tcPr>
          <w:p w14:paraId="6ADB313C" w14:textId="77777777" w:rsidR="009315B2" w:rsidRPr="004E0AED" w:rsidRDefault="009315B2" w:rsidP="00B5619F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Postrojenja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oporabu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materijala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zahtijevaju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temeljitu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smislu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načela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„Ne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nanosi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značajnu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štetu</w:t>
            </w:r>
            <w:proofErr w:type="spellEnd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 xml:space="preserve">“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vezano</w:t>
            </w:r>
            <w:proofErr w:type="spellEnd"/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uz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sprječavanje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kontrolu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onečišćenja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</w:p>
        </w:tc>
        <w:tc>
          <w:tcPr>
            <w:tcW w:w="3918" w:type="dxa"/>
          </w:tcPr>
          <w:p w14:paraId="75FCC24E" w14:textId="53BA747C" w:rsidR="009315B2" w:rsidRPr="004E0AED" w:rsidRDefault="008F7893" w:rsidP="008F789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Ne </w:t>
            </w:r>
            <w:proofErr w:type="spellStart"/>
            <w:r>
              <w:rPr>
                <w:rFonts w:ascii="Vollkorn" w:hAnsi="Vollkorn"/>
                <w:sz w:val="18"/>
                <w:szCs w:val="18"/>
              </w:rPr>
              <w:t>ispunjava</w:t>
            </w:r>
            <w:proofErr w:type="spellEnd"/>
            <w:r>
              <w:rPr>
                <w:rFonts w:ascii="Vollkorn" w:hAnsi="Vollkorn"/>
                <w:sz w:val="18"/>
                <w:szCs w:val="18"/>
              </w:rPr>
              <w:t xml:space="preserve"> se</w:t>
            </w:r>
            <w:r>
              <w:rPr>
                <w:rFonts w:ascii="Cambria Math" w:hAnsi="Cambria Math"/>
                <w:sz w:val="18"/>
                <w:szCs w:val="18"/>
              </w:rPr>
              <w:t>*</w:t>
            </w:r>
          </w:p>
        </w:tc>
      </w:tr>
      <w:tr w:rsidR="009315B2" w:rsidRPr="004E0AED" w14:paraId="23CE83B4" w14:textId="77777777" w:rsidTr="00C66E5E">
        <w:trPr>
          <w:trHeight w:val="325"/>
        </w:trPr>
        <w:tc>
          <w:tcPr>
            <w:tcW w:w="1698" w:type="dxa"/>
            <w:vMerge/>
          </w:tcPr>
          <w:p w14:paraId="7E4A6F9A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1699" w:type="dxa"/>
          </w:tcPr>
          <w:p w14:paraId="08A86FD8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Postrojenje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anaerobnu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digestiju</w:t>
            </w:r>
            <w:proofErr w:type="spellEnd"/>
          </w:p>
        </w:tc>
        <w:tc>
          <w:tcPr>
            <w:tcW w:w="851" w:type="dxa"/>
          </w:tcPr>
          <w:p w14:paraId="40D75F8D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217972E6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18" w:type="dxa"/>
            <w:vMerge/>
          </w:tcPr>
          <w:p w14:paraId="4B39B0C1" w14:textId="77777777" w:rsidR="009315B2" w:rsidRPr="004E0AED" w:rsidRDefault="009315B2" w:rsidP="00F51E8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18" w:type="dxa"/>
          </w:tcPr>
          <w:p w14:paraId="7F3EB5B9" w14:textId="3313A0E6" w:rsidR="009315B2" w:rsidRPr="004E0AED" w:rsidRDefault="008F7893" w:rsidP="008F789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Ne </w:t>
            </w:r>
            <w:proofErr w:type="spellStart"/>
            <w:r>
              <w:rPr>
                <w:rFonts w:ascii="Vollkorn" w:hAnsi="Vollkorn"/>
                <w:sz w:val="18"/>
                <w:szCs w:val="18"/>
              </w:rPr>
              <w:t>ispunjava</w:t>
            </w:r>
            <w:proofErr w:type="spellEnd"/>
            <w:r>
              <w:rPr>
                <w:rFonts w:ascii="Vollkorn" w:hAnsi="Vollkorn"/>
                <w:sz w:val="18"/>
                <w:szCs w:val="18"/>
              </w:rPr>
              <w:t xml:space="preserve"> se</w:t>
            </w:r>
            <w:r>
              <w:rPr>
                <w:rFonts w:ascii="Cambria Math" w:hAnsi="Cambria Math"/>
                <w:sz w:val="18"/>
                <w:szCs w:val="18"/>
              </w:rPr>
              <w:t>*</w:t>
            </w:r>
          </w:p>
        </w:tc>
      </w:tr>
      <w:tr w:rsidR="009315B2" w:rsidRPr="004E0AED" w14:paraId="0A906416" w14:textId="77777777" w:rsidTr="00C66E5E">
        <w:tc>
          <w:tcPr>
            <w:tcW w:w="3397" w:type="dxa"/>
            <w:gridSpan w:val="2"/>
          </w:tcPr>
          <w:p w14:paraId="0B30CC9D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obnova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ekosustava</w:t>
            </w:r>
            <w:proofErr w:type="spellEnd"/>
          </w:p>
        </w:tc>
        <w:tc>
          <w:tcPr>
            <w:tcW w:w="851" w:type="dxa"/>
          </w:tcPr>
          <w:p w14:paraId="6A265F20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850" w:type="dxa"/>
          </w:tcPr>
          <w:p w14:paraId="5D1C4263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18" w:type="dxa"/>
          </w:tcPr>
          <w:p w14:paraId="202BC228" w14:textId="77777777" w:rsidR="009315B2" w:rsidRPr="004E0AED" w:rsidRDefault="009315B2" w:rsidP="00F51E83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3918" w:type="dxa"/>
          </w:tcPr>
          <w:p w14:paraId="49C44B7A" w14:textId="131067F5" w:rsidR="009315B2" w:rsidRPr="004E0AED" w:rsidRDefault="008F7893" w:rsidP="008F789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Ne </w:t>
            </w:r>
            <w:proofErr w:type="spellStart"/>
            <w:r>
              <w:rPr>
                <w:rFonts w:ascii="Vollkorn" w:hAnsi="Vollkorn"/>
                <w:sz w:val="18"/>
                <w:szCs w:val="18"/>
              </w:rPr>
              <w:t>ispunjava</w:t>
            </w:r>
            <w:proofErr w:type="spellEnd"/>
            <w:r>
              <w:rPr>
                <w:rFonts w:ascii="Vollkorn" w:hAnsi="Vollkorn"/>
                <w:sz w:val="18"/>
                <w:szCs w:val="18"/>
              </w:rPr>
              <w:t xml:space="preserve"> se</w:t>
            </w:r>
            <w:r>
              <w:rPr>
                <w:rFonts w:ascii="Cambria Math" w:hAnsi="Cambria Math"/>
                <w:sz w:val="18"/>
                <w:szCs w:val="18"/>
              </w:rPr>
              <w:t>*</w:t>
            </w:r>
          </w:p>
        </w:tc>
      </w:tr>
    </w:tbl>
    <w:p w14:paraId="605C4E85" w14:textId="77777777" w:rsidR="009315B2" w:rsidRDefault="009315B2" w:rsidP="004E0AED">
      <w:pPr>
        <w:rPr>
          <w:rFonts w:ascii="Arial Narrow" w:hAnsi="Arial Narrow" w:cs="Arial"/>
          <w:b/>
          <w:bCs/>
          <w:szCs w:val="20"/>
        </w:rPr>
      </w:pPr>
    </w:p>
    <w:p w14:paraId="503D3CCD" w14:textId="77777777" w:rsidR="009315B2" w:rsidRDefault="009315B2" w:rsidP="004E0AED">
      <w:pPr>
        <w:rPr>
          <w:rFonts w:ascii="Arial Narrow" w:hAnsi="Arial Narrow" w:cs="Arial"/>
          <w:b/>
          <w:bCs/>
          <w:szCs w:val="20"/>
        </w:rPr>
      </w:pPr>
    </w:p>
    <w:p w14:paraId="5852614F" w14:textId="77777777" w:rsidR="009315B2" w:rsidRDefault="009315B2" w:rsidP="004E0AED">
      <w:pPr>
        <w:rPr>
          <w:rFonts w:ascii="Arial Narrow" w:hAnsi="Arial Narrow" w:cs="Arial"/>
          <w:b/>
          <w:bCs/>
          <w:szCs w:val="20"/>
        </w:rPr>
      </w:pPr>
    </w:p>
    <w:p w14:paraId="6B6BEF8F" w14:textId="77777777" w:rsidR="009315B2" w:rsidRDefault="009315B2" w:rsidP="004E0AED">
      <w:pPr>
        <w:rPr>
          <w:rFonts w:ascii="Arial Narrow" w:hAnsi="Arial Narrow" w:cs="Arial"/>
          <w:b/>
          <w:bCs/>
          <w:szCs w:val="20"/>
        </w:rPr>
      </w:pPr>
    </w:p>
    <w:p w14:paraId="26D23551" w14:textId="77777777" w:rsidR="009315B2" w:rsidRDefault="009315B2" w:rsidP="004E0AED">
      <w:pPr>
        <w:rPr>
          <w:rFonts w:ascii="Arial Narrow" w:hAnsi="Arial Narrow" w:cs="Arial"/>
          <w:b/>
          <w:bCs/>
          <w:szCs w:val="20"/>
        </w:rPr>
      </w:pPr>
    </w:p>
    <w:p w14:paraId="3CE07643" w14:textId="3FC8F766" w:rsidR="009315B2" w:rsidRDefault="009315B2" w:rsidP="004E0AED">
      <w:pPr>
        <w:rPr>
          <w:rFonts w:ascii="Arial Narrow" w:hAnsi="Arial Narrow" w:cs="Arial"/>
          <w:b/>
          <w:bCs/>
          <w:szCs w:val="20"/>
        </w:rPr>
      </w:pPr>
    </w:p>
    <w:p w14:paraId="653294E8" w14:textId="5925FA4A" w:rsidR="009315B2" w:rsidRPr="0043431E" w:rsidRDefault="008F7893" w:rsidP="004E0AED">
      <w:pPr>
        <w:rPr>
          <w:rFonts w:ascii="Arial Narrow" w:hAnsi="Arial Narrow" w:cs="Arial"/>
          <w:b/>
          <w:bCs/>
          <w:i/>
          <w:sz w:val="20"/>
          <w:szCs w:val="20"/>
          <w:u w:val="single"/>
        </w:rPr>
      </w:pPr>
      <w:r w:rsidRPr="005173C4">
        <w:rPr>
          <w:rFonts w:ascii="Arial Narrow" w:hAnsi="Arial Narrow" w:cs="Arial"/>
          <w:b/>
          <w:bCs/>
          <w:i/>
          <w:sz w:val="20"/>
          <w:szCs w:val="20"/>
          <w:u w:val="single"/>
        </w:rPr>
        <w:t>*</w:t>
      </w:r>
      <w:r w:rsidR="005173C4" w:rsidRPr="005173C4">
        <w:rPr>
          <w:rFonts w:ascii="Arial Narrow" w:hAnsi="Arial Narrow" w:cs="Arial"/>
          <w:b/>
          <w:bCs/>
          <w:i/>
          <w:sz w:val="20"/>
          <w:szCs w:val="20"/>
          <w:u w:val="single"/>
        </w:rPr>
        <w:t xml:space="preserve"> </w:t>
      </w:r>
      <w:r w:rsidRPr="005173C4">
        <w:rPr>
          <w:rFonts w:ascii="Arial Narrow" w:hAnsi="Arial Narrow" w:cs="Arial"/>
          <w:b/>
          <w:bCs/>
          <w:i/>
          <w:sz w:val="20"/>
          <w:szCs w:val="20"/>
          <w:u w:val="single"/>
        </w:rPr>
        <w:t>Ovaj dio prijavitelj ispunjava</w:t>
      </w:r>
      <w:r w:rsidR="005173C4" w:rsidRPr="005173C4">
        <w:rPr>
          <w:rFonts w:ascii="Arial Narrow" w:hAnsi="Arial Narrow" w:cs="Arial"/>
          <w:b/>
          <w:bCs/>
          <w:i/>
          <w:sz w:val="20"/>
          <w:szCs w:val="20"/>
          <w:u w:val="single"/>
        </w:rPr>
        <w:t xml:space="preserve"> i obrazlaže</w:t>
      </w:r>
      <w:r w:rsidRPr="005173C4">
        <w:rPr>
          <w:rFonts w:ascii="Arial Narrow" w:hAnsi="Arial Narrow" w:cs="Arial"/>
          <w:b/>
          <w:bCs/>
          <w:i/>
          <w:sz w:val="20"/>
          <w:szCs w:val="20"/>
          <w:u w:val="single"/>
        </w:rPr>
        <w:t xml:space="preserve"> u Kontrolnoj listi 2</w:t>
      </w:r>
    </w:p>
    <w:p w14:paraId="60877ED1" w14:textId="77777777" w:rsidR="009315B2" w:rsidRDefault="009315B2" w:rsidP="004E0AED">
      <w:pPr>
        <w:rPr>
          <w:rFonts w:ascii="Arial Narrow" w:hAnsi="Arial Narrow" w:cs="Arial"/>
          <w:b/>
          <w:bCs/>
          <w:szCs w:val="20"/>
        </w:rPr>
      </w:pPr>
    </w:p>
    <w:p w14:paraId="4918FF67" w14:textId="77777777" w:rsidR="004E0AED" w:rsidRPr="00E26C8B" w:rsidRDefault="004E0AED" w:rsidP="004E0AED">
      <w:pPr>
        <w:rPr>
          <w:rFonts w:ascii="Arial Narrow" w:hAnsi="Arial Narrow" w:cs="Arial"/>
          <w:b/>
          <w:bCs/>
          <w:szCs w:val="20"/>
        </w:rPr>
      </w:pPr>
      <w:r w:rsidRPr="00E26C8B">
        <w:rPr>
          <w:rFonts w:ascii="Arial Narrow" w:hAnsi="Arial Narrow" w:cs="Arial"/>
          <w:b/>
          <w:bCs/>
          <w:szCs w:val="20"/>
        </w:rPr>
        <w:t>Kontrolna lista</w:t>
      </w:r>
      <w:r>
        <w:rPr>
          <w:rFonts w:ascii="Arial Narrow" w:hAnsi="Arial Narrow" w:cs="Arial"/>
          <w:b/>
          <w:bCs/>
          <w:szCs w:val="20"/>
        </w:rPr>
        <w:t xml:space="preserve"> 2</w:t>
      </w:r>
    </w:p>
    <w:tbl>
      <w:tblPr>
        <w:tblStyle w:val="Reetkatablice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696"/>
        <w:gridCol w:w="1357"/>
        <w:gridCol w:w="807"/>
        <w:gridCol w:w="5120"/>
        <w:gridCol w:w="3957"/>
      </w:tblGrid>
      <w:tr w:rsidR="009315B2" w:rsidRPr="00151E16" w14:paraId="5F46807F" w14:textId="77777777" w:rsidTr="00E96794">
        <w:tc>
          <w:tcPr>
            <w:tcW w:w="3011" w:type="dxa"/>
            <w:gridSpan w:val="2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  <w:shd w:val="clear" w:color="auto" w:fill="2C398B"/>
          </w:tcPr>
          <w:p w14:paraId="5F0AE656" w14:textId="77777777" w:rsidR="009315B2" w:rsidRPr="004E0AED" w:rsidRDefault="009315B2" w:rsidP="004E0AED">
            <w:pPr>
              <w:pStyle w:val="NormalKomponente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Pitanje</w:t>
            </w:r>
            <w:proofErr w:type="spellEnd"/>
          </w:p>
          <w:p w14:paraId="40335BDE" w14:textId="77777777" w:rsidR="009315B2" w:rsidRPr="004E0AED" w:rsidRDefault="009315B2" w:rsidP="004E0AED">
            <w:pPr>
              <w:pStyle w:val="NormalKomponente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  <w:shd w:val="clear" w:color="auto" w:fill="2C398B"/>
          </w:tcPr>
          <w:p w14:paraId="0D581956" w14:textId="77777777" w:rsidR="009315B2" w:rsidRPr="004E0AED" w:rsidRDefault="009315B2" w:rsidP="004E0AED">
            <w:pPr>
              <w:pStyle w:val="NormalKomponente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Ne</w:t>
            </w: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  <w:shd w:val="clear" w:color="auto" w:fill="2C398B"/>
          </w:tcPr>
          <w:p w14:paraId="07D0A8E0" w14:textId="77777777" w:rsidR="009315B2" w:rsidRPr="004E0AED" w:rsidRDefault="009315B2" w:rsidP="004E0AED">
            <w:pPr>
              <w:pStyle w:val="NormalKomponente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  <w:r w:rsidRPr="000761A3">
              <w:rPr>
                <w:rFonts w:ascii="Vollkorn" w:hAnsi="Vollkorn"/>
                <w:i/>
                <w:noProof/>
                <w:color w:val="FFFFFF" w:themeColor="background1"/>
                <w:sz w:val="18"/>
                <w:szCs w:val="18"/>
              </w:rPr>
              <w:t>Materijalno obrazloženje</w:t>
            </w: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  <w:shd w:val="clear" w:color="auto" w:fill="2C398B"/>
          </w:tcPr>
          <w:p w14:paraId="6AEB486D" w14:textId="77777777" w:rsidR="009315B2" w:rsidRPr="000761A3" w:rsidRDefault="00E96794" w:rsidP="004E0AED">
            <w:pPr>
              <w:pStyle w:val="NormalKomponente"/>
              <w:jc w:val="center"/>
              <w:rPr>
                <w:rFonts w:ascii="Vollkorn" w:hAnsi="Vollkorn"/>
                <w:i/>
                <w:noProof/>
                <w:color w:val="FFFFFF" w:themeColor="background1"/>
                <w:sz w:val="18"/>
                <w:szCs w:val="18"/>
              </w:rPr>
            </w:pPr>
            <w:r w:rsidRPr="009315B2">
              <w:rPr>
                <w:rFonts w:ascii="Vollkorn" w:hAnsi="Vollkorn"/>
                <w:b/>
                <w:i/>
                <w:iCs/>
                <w:noProof/>
                <w:color w:val="FFFFFF" w:themeColor="background1"/>
                <w:sz w:val="18"/>
                <w:szCs w:val="18"/>
              </w:rPr>
              <w:t>Obrazloženje sukladnosti projektnog prijedloga s navedenim načelima  (ispunjava prijavitelj)</w:t>
            </w:r>
          </w:p>
        </w:tc>
      </w:tr>
      <w:tr w:rsidR="009315B2" w:rsidRPr="00151E16" w14:paraId="181020B0" w14:textId="77777777" w:rsidTr="001E7FED">
        <w:trPr>
          <w:trHeight w:val="1194"/>
        </w:trPr>
        <w:tc>
          <w:tcPr>
            <w:tcW w:w="1696" w:type="dxa"/>
            <w:vMerge w:val="restart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2EBC6E91" w14:textId="77777777" w:rsidR="009315B2" w:rsidRPr="004E0AED" w:rsidRDefault="009315B2" w:rsidP="00B5619F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Ublažavanje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promjena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dovesti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značajnih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emisija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stakleničkih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plinova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?</w:t>
            </w:r>
            <w:proofErr w:type="gramEnd"/>
          </w:p>
        </w:tc>
        <w:tc>
          <w:tcPr>
            <w:tcW w:w="1315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0DEA6FC5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Kompostiranje</w:t>
            </w:r>
            <w:proofErr w:type="spellEnd"/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75CE89CB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0F89178D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Sljedeći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aspekti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:</w:t>
            </w:r>
          </w:p>
          <w:p w14:paraId="195937CB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• </w:t>
            </w:r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biootpad</w:t>
            </w:r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odvojen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mjestu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nastanka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odvojeno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prikupiti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,</w:t>
            </w:r>
            <w:r w:rsidRPr="004E0AED">
              <w:rPr>
                <w:rFonts w:ascii="Vollkorn" w:hAnsi="Vollkorn"/>
                <w:sz w:val="18"/>
                <w:szCs w:val="18"/>
              </w:rPr>
              <w:br/>
              <w:t xml:space="preserve">•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kompostiranje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jedino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ondje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gdje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anaerobna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digestija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tehnički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ekonomski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izvediva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alternativa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,</w:t>
            </w:r>
            <w:r w:rsidRPr="004E0AED">
              <w:rPr>
                <w:rFonts w:ascii="Vollkorn" w:hAnsi="Vollkorn"/>
                <w:sz w:val="18"/>
                <w:szCs w:val="18"/>
              </w:rPr>
              <w:br/>
              <w:t xml:space="preserve">•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proizvedeni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kompost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koristiti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gnojivo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/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poboljšivač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09334911" w14:textId="6FABB7BD" w:rsidR="00BC4FB9" w:rsidRPr="00BC4FB9" w:rsidRDefault="00BC4FB9" w:rsidP="00BC4FB9">
            <w:pPr>
              <w:pStyle w:val="NormalKomponente"/>
              <w:spacing w:before="0"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 w:rsidRPr="00BC4FB9"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t>Obrazloženje ISPUNJAVA PRIJAVITELJ:</w:t>
            </w:r>
          </w:p>
          <w:p w14:paraId="1AE9D7FF" w14:textId="26675AA5" w:rsidR="009315B2" w:rsidRPr="004E0AED" w:rsidRDefault="00BC4FB9" w:rsidP="00BC4FB9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O</w:t>
            </w:r>
            <w:r w:rsidR="009315B2"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pisati na koji način konkretan projektni prijedlog  zadovoljava navedena načela</w:t>
            </w:r>
            <w:r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 xml:space="preserve"> i</w:t>
            </w:r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pozvati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na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dokumente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provedene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procedure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kojima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potvrđuje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sukladnost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projektnog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prijedloga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navedenim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načelima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9315B2" w:rsidRPr="00151E16" w14:paraId="37488004" w14:textId="77777777" w:rsidTr="001E7FED">
        <w:trPr>
          <w:trHeight w:val="1266"/>
        </w:trPr>
        <w:tc>
          <w:tcPr>
            <w:tcW w:w="1696" w:type="dxa"/>
            <w:vMerge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0E17DCFF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4485CC5F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Postrojenje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anaerobnu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digestiju</w:t>
            </w:r>
            <w:proofErr w:type="spellEnd"/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5BFE3905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42DE4CDB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Anaerobna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digestija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predviđena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ulaganja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Ako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pojavi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sekundarni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projekt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ne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financira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kroz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primjenjivat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relevantni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zakonski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propisi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RH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vezani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uz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takva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postrojenja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613FEFD6" w14:textId="2C302DF0" w:rsidR="00BC4FB9" w:rsidRDefault="00BC4FB9" w:rsidP="00BC4FB9">
            <w:pPr>
              <w:pStyle w:val="NormalKomponente"/>
              <w:spacing w:before="0"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t>Obrazloženje ISPUNJAVA PRIJAVITELJ:</w:t>
            </w:r>
          </w:p>
          <w:p w14:paraId="17306968" w14:textId="6CE0CB9E" w:rsidR="009315B2" w:rsidRPr="004E0AED" w:rsidRDefault="00BC4FB9" w:rsidP="00BC4FB9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Opisati na koji način konkretan projektni prijedlog  zadovoljava navedena načela i</w:t>
            </w:r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pozvati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na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dokumente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provedene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procedure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kojima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potvrđuje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sukladnost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projektnog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prijedloga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navedenim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načelima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9315B2" w:rsidRPr="00151E16" w14:paraId="3DC53413" w14:textId="77777777" w:rsidTr="00E96794">
        <w:tc>
          <w:tcPr>
            <w:tcW w:w="3011" w:type="dxa"/>
            <w:gridSpan w:val="2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76EF2808" w14:textId="77777777" w:rsidR="009315B2" w:rsidRPr="004E0AED" w:rsidRDefault="009315B2" w:rsidP="00B5619F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Prilagodba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promjenama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dovesti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povećanog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sadašnje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očekivane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buduće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samu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ljude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prirodu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imovinu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?</w:t>
            </w:r>
            <w:proofErr w:type="gramEnd"/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4FDFA9F3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5287B09C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Kroz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PUO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razrađene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promjene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visoke</w:t>
            </w:r>
            <w:proofErr w:type="spellEnd"/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temperature,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ekstremne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oborine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eroziju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aktivnosti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temelju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projekcija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provedena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je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snažna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rizika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ranjivosti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Zaključci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ugrađeni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oblikovanje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  <w:p w14:paraId="3A8F28A3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  <w:p w14:paraId="2116D87F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Obveza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projekti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djelovati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napore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lastRenderedPageBreak/>
              <w:t>prilagodbi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razinu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otpornosti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fizičke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rizike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drugih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ljudi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prirodnu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imovinu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ostale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ekonomske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aktivnosti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usklađeni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lokalnim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sektorskim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regionalnim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nacionalnim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naporima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prilagodbi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4D0529D6" w14:textId="77777777" w:rsidR="00BC4FB9" w:rsidRPr="00BC4FB9" w:rsidRDefault="00BC4FB9" w:rsidP="00BC4FB9">
            <w:pPr>
              <w:pStyle w:val="NormalKomponente"/>
              <w:spacing w:before="0"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 w:rsidRPr="00BC4FB9"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lastRenderedPageBreak/>
              <w:t>Obrazloženje ISPUNJAVA PRIJAVITELJ:</w:t>
            </w:r>
          </w:p>
          <w:p w14:paraId="2B60DB2E" w14:textId="5A22DFCA" w:rsidR="009315B2" w:rsidRPr="004E0AED" w:rsidRDefault="00BC4FB9" w:rsidP="00BC4FB9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Opisati na koji način konkretan projektni prijedlog  zadovoljava navedena načela i</w:t>
            </w:r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pozvati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na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dokumente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provedene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procedure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kojima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potvrđuje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sukladnost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projektnog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prijedloga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navedenim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načelima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9315B2" w:rsidRPr="00151E16" w14:paraId="6D7614A9" w14:textId="77777777" w:rsidTr="00E96794">
        <w:tc>
          <w:tcPr>
            <w:tcW w:w="3011" w:type="dxa"/>
            <w:gridSpan w:val="2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516B97DD" w14:textId="77777777" w:rsidR="009315B2" w:rsidRPr="004E0AED" w:rsidRDefault="009315B2" w:rsidP="00B5619F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lastRenderedPageBreak/>
              <w:t>Održivo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korištenje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morskih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resursa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: </w:t>
            </w:r>
          </w:p>
          <w:p w14:paraId="27ADE6C2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dobrom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dobrom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ekološkom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potencijalu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tijela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uključujući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površinske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</w:p>
          <w:p w14:paraId="557A626A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podzemne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 </w:t>
            </w:r>
          </w:p>
          <w:p w14:paraId="531E505A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</w:p>
          <w:p w14:paraId="4CFD7059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(ii) </w:t>
            </w: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dobrom</w:t>
            </w:r>
            <w:proofErr w:type="spellEnd"/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morskih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?</w:t>
            </w:r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31CBF680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78BC631D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Aktivnosti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podržane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ovom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imaju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neznatan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predvidiv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negativan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ovaj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cilj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vodeći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računa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izravnim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primarnim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neizravnim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čitavom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životnom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vijeku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</w:p>
          <w:p w14:paraId="6E334ED6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  <w:p w14:paraId="416458F6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Postoje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dokazi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postrojenja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rezultirati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rizicima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narušavanja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odnose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očuvanje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kakvoće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stres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Okvirnom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direktivom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(2000/60/EZ). </w:t>
            </w:r>
            <w:r w:rsidRPr="0043431E">
              <w:rPr>
                <w:rFonts w:ascii="Vollkorn" w:hAnsi="Vollkorn"/>
                <w:sz w:val="18"/>
                <w:szCs w:val="18"/>
              </w:rPr>
              <w:t xml:space="preserve">U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Direktivom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2011/92/EU, u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fazi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postupka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ocjene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potrebi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procjene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zaključeno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je da se ne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očekuju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značajni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utjecaji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3431E">
              <w:rPr>
                <w:rFonts w:ascii="Vollkorn" w:hAnsi="Vollkorn"/>
                <w:sz w:val="18"/>
                <w:szCs w:val="18"/>
              </w:rPr>
              <w:t>projekta</w:t>
            </w:r>
            <w:proofErr w:type="spellEnd"/>
            <w:r w:rsidRPr="0043431E">
              <w:rPr>
                <w:rFonts w:ascii="Vollkorn" w:hAnsi="Vollkorn"/>
                <w:sz w:val="18"/>
                <w:szCs w:val="18"/>
              </w:rPr>
              <w:t>.</w:t>
            </w: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5B453CCA" w14:textId="7B05E507" w:rsidR="00BC4FB9" w:rsidRDefault="00BC4FB9" w:rsidP="00BC4FB9">
            <w:pPr>
              <w:pStyle w:val="NormalKomponente"/>
              <w:spacing w:before="0"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t>Obrazloženje ISPUNJAVA PRIJAVITELJ:</w:t>
            </w:r>
          </w:p>
          <w:p w14:paraId="6EF5F99E" w14:textId="0A39E96D" w:rsidR="009315B2" w:rsidRPr="004E0AED" w:rsidRDefault="00BC4FB9" w:rsidP="00BC4FB9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O</w:t>
            </w:r>
            <w:r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pisati na koji način konkretan projektni prijedlog  zadovoljava navedena načela i</w:t>
            </w:r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pozvati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na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dokumente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provedene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procedure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kojima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potvrđuje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sukladnost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projektnog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prijedloga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navedenim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načelima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9315B2" w:rsidRPr="00151E16" w14:paraId="4DBC2EFB" w14:textId="77777777" w:rsidTr="001E7FED">
        <w:trPr>
          <w:trHeight w:val="3293"/>
        </w:trPr>
        <w:tc>
          <w:tcPr>
            <w:tcW w:w="1696" w:type="dxa"/>
            <w:vMerge w:val="restart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660397BF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Sprječavanje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kontrola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onečišćenja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dovesti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značajnog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povećanja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emisija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onečišćujućih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tvari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(4)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zrak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tlo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?</w:t>
            </w:r>
          </w:p>
        </w:tc>
        <w:tc>
          <w:tcPr>
            <w:tcW w:w="1315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32E15A12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Kompostiranje</w:t>
            </w:r>
            <w:proofErr w:type="spellEnd"/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0A493CA9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36A8C3E3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Premda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ulaganje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kompostane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sekundarna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ulaganja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važit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sljedeći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kriteriji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:</w:t>
            </w:r>
          </w:p>
          <w:p w14:paraId="036FA08E" w14:textId="77777777" w:rsidR="009315B2" w:rsidRPr="004E0AED" w:rsidRDefault="009315B2" w:rsidP="0083082B">
            <w:pPr>
              <w:pStyle w:val="NormalKomponente"/>
              <w:numPr>
                <w:ilvl w:val="0"/>
                <w:numId w:val="4"/>
              </w:numPr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slučaju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kompostana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obrađuje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više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od</w:t>
            </w:r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75 t/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dan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zahtijevat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emisije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zrak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budu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unutar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raspona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iz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Najboljih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dostupnih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tehnika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–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Povezanih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razina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emisija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(BAT-AEL)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postavljenih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aerobnu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obradu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Referentnom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dokumentu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najboljim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dostupnim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tehnikama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(BREF)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obradu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  <w:p w14:paraId="6C6F06D4" w14:textId="77777777" w:rsidR="009315B2" w:rsidRPr="004E0AED" w:rsidRDefault="009315B2" w:rsidP="0083082B">
            <w:pPr>
              <w:pStyle w:val="NormalKomponente"/>
              <w:numPr>
                <w:ilvl w:val="0"/>
                <w:numId w:val="4"/>
              </w:numPr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lokaciji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lokacijama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uspostavljen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sustav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sprječava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prodor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procjednih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podzemne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</w:p>
          <w:p w14:paraId="7A65E966" w14:textId="77777777" w:rsidR="009315B2" w:rsidRPr="004E0AED" w:rsidRDefault="009315B2" w:rsidP="0083082B">
            <w:pPr>
              <w:pStyle w:val="NormalKomponente"/>
              <w:numPr>
                <w:ilvl w:val="0"/>
                <w:numId w:val="4"/>
              </w:numPr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Nastali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kompost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ispunjavati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zahtjeve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gnojidbene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materijale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Uredbi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EU 2019/1009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odgovarajuća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nacionalna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pravila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gnojivima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/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poboljšivačima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poljoprivrednu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uporabu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6DE04F04" w14:textId="0E5C03AE" w:rsidR="00BC4FB9" w:rsidRDefault="00BC4FB9" w:rsidP="00BC4FB9">
            <w:pPr>
              <w:pStyle w:val="NormalKomponente"/>
              <w:spacing w:before="0"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t>Obrazloženje ISPUNJAVA PRIJAVITELJ:</w:t>
            </w:r>
          </w:p>
          <w:p w14:paraId="7C7FCBD9" w14:textId="51444D1B" w:rsidR="009315B2" w:rsidRPr="004E0AED" w:rsidRDefault="00BC4FB9" w:rsidP="00BC4FB9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O</w:t>
            </w:r>
            <w:r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pisati na koji način konkretan projektni prijedlog  zadovoljava navedena načela i</w:t>
            </w:r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pozvati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na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dokumente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provedene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procedure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kojima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potvrđuje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sukladnost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projektnog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prijedloga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navedenim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načelima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.</w:t>
            </w:r>
          </w:p>
        </w:tc>
      </w:tr>
      <w:tr w:rsidR="009315B2" w:rsidRPr="00151E16" w14:paraId="37568F47" w14:textId="77777777" w:rsidTr="001E7FED">
        <w:trPr>
          <w:trHeight w:val="2928"/>
        </w:trPr>
        <w:tc>
          <w:tcPr>
            <w:tcW w:w="1696" w:type="dxa"/>
            <w:vMerge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4763236F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41532168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Postrojenje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anaerobnu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digestiju</w:t>
            </w:r>
            <w:proofErr w:type="spellEnd"/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2D356295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7413B2C3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Premda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ulaganje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postrojenja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anaerobnu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digestiju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sekundarna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ulaganja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važit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sljedeći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kriteriji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:</w:t>
            </w:r>
          </w:p>
          <w:p w14:paraId="32BDCB5E" w14:textId="77777777" w:rsidR="009315B2" w:rsidRPr="004E0AED" w:rsidRDefault="009315B2" w:rsidP="0083082B">
            <w:pPr>
              <w:pStyle w:val="NormalKomponente"/>
              <w:numPr>
                <w:ilvl w:val="0"/>
                <w:numId w:val="5"/>
              </w:numPr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slučaju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postrojenja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anaerobnu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digestiju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obrađuje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više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od</w:t>
            </w:r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100 t/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dan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zahtijevat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emisije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zrak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vodu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budu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unutar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raspona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iz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Najboljih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dostupnih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tehnika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–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Povezanih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razina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emisija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(BAT-AEL)</w:t>
            </w:r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postavljenih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anaerobnu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obradu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otpada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u</w:t>
            </w:r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Referentnom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dokumentu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najboljim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dostupnim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tehnikama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(</w:t>
            </w:r>
            <w:r w:rsidRPr="004E0AED">
              <w:rPr>
                <w:rFonts w:ascii="Vollkorn" w:hAnsi="Vollkorn"/>
                <w:sz w:val="18"/>
                <w:szCs w:val="18"/>
              </w:rPr>
              <w:t>BREF</w:t>
            </w:r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obradu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otpada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  <w:p w14:paraId="362F979C" w14:textId="77777777" w:rsidR="009315B2" w:rsidRPr="004E0AED" w:rsidRDefault="009315B2" w:rsidP="0083082B">
            <w:pPr>
              <w:pStyle w:val="NormalKomponente"/>
              <w:numPr>
                <w:ilvl w:val="0"/>
                <w:numId w:val="5"/>
              </w:numPr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Emisije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zrak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npr</w:t>
            </w:r>
            <w:proofErr w:type="spellEnd"/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SOx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NOx)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nakon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izgaranja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bioplina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kontrolirane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smanjene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prema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potrebi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unutar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granica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propisanih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zakonodavstvom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EU-a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odgovarajućim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nacionalnim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zakonodavstvom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</w:p>
          <w:p w14:paraId="5AD819EE" w14:textId="77777777" w:rsidR="009315B2" w:rsidRPr="004E0AED" w:rsidRDefault="009315B2" w:rsidP="0083082B">
            <w:pPr>
              <w:pStyle w:val="NormalKomponente"/>
              <w:numPr>
                <w:ilvl w:val="0"/>
                <w:numId w:val="5"/>
              </w:numPr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Zahtijevat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nastali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digestat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ispunjava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zahtjeve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gnojidbene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materijale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Uredbi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r w:rsidRPr="004E0AED">
              <w:rPr>
                <w:rFonts w:ascii="Vollkorn" w:hAnsi="Vollkorn"/>
                <w:sz w:val="18"/>
                <w:szCs w:val="18"/>
              </w:rPr>
              <w:t xml:space="preserve">EU 2019/1009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odgovarajuća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nacionalna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pravila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gnojivima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/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poboljšivačima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tla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poljoprivrednu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>uporabu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2F67ACA2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</w:tr>
      <w:tr w:rsidR="009315B2" w:rsidRPr="00151E16" w14:paraId="23D975C0" w14:textId="77777777" w:rsidTr="00E96794">
        <w:tc>
          <w:tcPr>
            <w:tcW w:w="3011" w:type="dxa"/>
            <w:gridSpan w:val="2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352452A8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obnova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ekosustava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:</w:t>
            </w:r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: 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značajno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dobrom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otpornosti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ekosustava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;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</w:p>
          <w:p w14:paraId="4D83C6E8" w14:textId="77777777" w:rsidR="009315B2" w:rsidRPr="004E0AED" w:rsidRDefault="009315B2" w:rsidP="00F51E8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(ii) </w:t>
            </w: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štetiti</w:t>
            </w:r>
            <w:proofErr w:type="spellEnd"/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očuvanja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staništa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biljnih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životinjskih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vrsta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uključujući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one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interesa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Uniju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?</w:t>
            </w:r>
          </w:p>
        </w:tc>
        <w:tc>
          <w:tcPr>
            <w:tcW w:w="80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53727DE2" w14:textId="77777777" w:rsidR="009315B2" w:rsidRPr="004E0AED" w:rsidRDefault="009315B2" w:rsidP="00F51E83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120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3A15DCFD" w14:textId="51406ED4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svaku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specifičnu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pod-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investiciju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provedena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je 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provedena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(PUO)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smjernicama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EU-a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vezanima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uz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(2014/52/EU)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stratešku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(2001/42/EZ).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Zaključci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ugrađeni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oblikovanje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  <w:p w14:paraId="73CBA9AD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lokacije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/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projekte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nalaze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unutar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blizini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osjetljivih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uključujući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mrežu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zaštićenih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Natura 2000,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svjetske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baštine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UNESCO-a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ključna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(KBA),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druga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zaštićena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), 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potencijalno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mogu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imati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ta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provedena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je 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odgovarajuća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odnosno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prihvatljivosti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odredbama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Strategije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EU-a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biološkoj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(COM(2011)244),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Direktive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pticama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(2009/147/EZ)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Direktive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staništima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(92/43/EZ)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temelju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ciljeva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očuvanja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zaštićenog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  <w:proofErr w:type="gramEnd"/>
          </w:p>
          <w:p w14:paraId="673954E5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takve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lokacije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/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projekte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PUO/OPEM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plan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provedbe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osigurat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sljedeće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:</w:t>
            </w:r>
          </w:p>
          <w:p w14:paraId="1D7AC98F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•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plan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upravljanja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raznolikošću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razini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lokacije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provodi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IFC-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ovim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Standardom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uspješnosti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6: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Očuvanje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održivo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upravljanje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živim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prirodnim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dobrima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; </w:t>
            </w:r>
          </w:p>
          <w:p w14:paraId="0A9329CD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• 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postoje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potrebne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ublažavanja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kako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bi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smanjili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vrste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staništa</w:t>
            </w:r>
            <w:proofErr w:type="spellEnd"/>
          </w:p>
          <w:p w14:paraId="4AB74F73" w14:textId="77777777" w:rsidR="009315B2" w:rsidRPr="004E0AED" w:rsidRDefault="009315B2" w:rsidP="0083082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 xml:space="preserve">• 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uspostavljen</w:t>
            </w:r>
            <w:proofErr w:type="spellEnd"/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je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provodi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snažan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odgovarajuće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projektiran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dugoročan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program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praćenja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</w:tc>
        <w:tc>
          <w:tcPr>
            <w:tcW w:w="3957" w:type="dxa"/>
            <w:tcBorders>
              <w:top w:val="single" w:sz="4" w:space="0" w:color="2C398B"/>
              <w:left w:val="single" w:sz="4" w:space="0" w:color="2C398B"/>
              <w:bottom w:val="single" w:sz="4" w:space="0" w:color="2C398B"/>
              <w:right w:val="single" w:sz="4" w:space="0" w:color="2C398B"/>
            </w:tcBorders>
          </w:tcPr>
          <w:p w14:paraId="47FFD845" w14:textId="0DC2C3EA" w:rsidR="00BC4FB9" w:rsidRDefault="00BC4FB9" w:rsidP="00BC4FB9">
            <w:pPr>
              <w:pStyle w:val="NormalKomponente"/>
              <w:spacing w:before="0"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t>Obrazloženje ISPUNJAVA PRIJAVITELJ:</w:t>
            </w:r>
          </w:p>
          <w:p w14:paraId="04FE1E34" w14:textId="3D18B558" w:rsidR="009315B2" w:rsidRPr="004E0AED" w:rsidRDefault="00BC4FB9" w:rsidP="00BC4FB9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O</w:t>
            </w:r>
            <w:r w:rsidRPr="00BC4FB9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</w:rPr>
              <w:t>pisati na koji način konkretan projektni prijedlog  zadovoljava navedena načela i</w:t>
            </w:r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pozvati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na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dokumente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i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provedene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procedure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kojima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se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potvrđuje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sukladnost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projektnog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prijedloga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s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navedenim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načelima</w:t>
            </w:r>
            <w:proofErr w:type="spellEnd"/>
            <w:r w:rsidRPr="00BC4FB9">
              <w:rPr>
                <w:rFonts w:ascii="Vollkorn" w:hAnsi="Vollkorn" w:cs="Arial"/>
                <w:i/>
                <w:color w:val="FF0000"/>
                <w:sz w:val="18"/>
                <w:szCs w:val="18"/>
              </w:rPr>
              <w:t>.</w:t>
            </w:r>
          </w:p>
        </w:tc>
      </w:tr>
    </w:tbl>
    <w:p w14:paraId="68871DD1" w14:textId="67C98405" w:rsidR="002305BA" w:rsidRDefault="002305BA"/>
    <w:p w14:paraId="38DA9BF8" w14:textId="359E4A78" w:rsidR="0002084D" w:rsidRDefault="0002084D"/>
    <w:p w14:paraId="149B9B1D" w14:textId="309A5FE2" w:rsidR="0002084D" w:rsidRDefault="0002084D"/>
    <w:p w14:paraId="2D5D2B5B" w14:textId="6A551C1F" w:rsidR="0002084D" w:rsidRDefault="0002084D"/>
    <w:p w14:paraId="5E24B7D6" w14:textId="41AD8022" w:rsidR="0002084D" w:rsidRDefault="0002084D"/>
    <w:p w14:paraId="41AC2594" w14:textId="77777777" w:rsidR="0002084D" w:rsidRPr="0002084D" w:rsidRDefault="0002084D" w:rsidP="0002084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p w14:paraId="042A79A8" w14:textId="64FBE693" w:rsidR="0002084D" w:rsidRPr="00115344" w:rsidRDefault="0002084D" w:rsidP="00020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5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15344">
        <w:rPr>
          <w:rFonts w:ascii="Times New Roman" w:eastAsia="Times New Roman" w:hAnsi="Times New Roman"/>
          <w:sz w:val="24"/>
          <w:szCs w:val="24"/>
        </w:rPr>
        <w:t xml:space="preserve">U &lt; </w:t>
      </w:r>
      <w:r w:rsidRPr="00115344">
        <w:rPr>
          <w:rFonts w:ascii="Times New Roman" w:eastAsia="Times New Roman" w:hAnsi="Times New Roman"/>
          <w:i/>
          <w:sz w:val="24"/>
          <w:szCs w:val="24"/>
        </w:rPr>
        <w:t xml:space="preserve">umetnuti  mjesto  </w:t>
      </w:r>
      <w:r w:rsidRPr="00115344">
        <w:rPr>
          <w:rFonts w:ascii="Times New Roman" w:eastAsia="Times New Roman" w:hAnsi="Times New Roman"/>
          <w:sz w:val="24"/>
          <w:szCs w:val="24"/>
        </w:rPr>
        <w:t xml:space="preserve">&gt;, dana  &lt; </w:t>
      </w:r>
      <w:r w:rsidRPr="00115344">
        <w:rPr>
          <w:rFonts w:ascii="Times New Roman" w:eastAsia="Times New Roman" w:hAnsi="Times New Roman"/>
          <w:i/>
          <w:sz w:val="24"/>
          <w:szCs w:val="24"/>
        </w:rPr>
        <w:t>umetnuti</w:t>
      </w:r>
      <w:r w:rsidRPr="0011534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15344">
        <w:rPr>
          <w:rFonts w:ascii="Times New Roman" w:eastAsia="Times New Roman" w:hAnsi="Times New Roman"/>
          <w:i/>
          <w:sz w:val="24"/>
          <w:szCs w:val="24"/>
        </w:rPr>
        <w:t xml:space="preserve">datum </w:t>
      </w:r>
      <w:r w:rsidRPr="00115344">
        <w:rPr>
          <w:rFonts w:ascii="Times New Roman" w:eastAsia="Times New Roman" w:hAnsi="Times New Roman"/>
          <w:sz w:val="24"/>
          <w:szCs w:val="24"/>
        </w:rPr>
        <w:t>&gt;   &lt; umetnuti  godinu).</w:t>
      </w:r>
    </w:p>
    <w:p w14:paraId="6C89E22B" w14:textId="2D35FE73" w:rsidR="0002084D" w:rsidRPr="00115344" w:rsidRDefault="0002084D" w:rsidP="00020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5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15344">
        <w:rPr>
          <w:rFonts w:ascii="Times New Roman" w:eastAsia="Times New Roman" w:hAnsi="Times New Roman"/>
          <w:sz w:val="24"/>
          <w:szCs w:val="24"/>
        </w:rPr>
        <w:t>&lt;</w:t>
      </w:r>
      <w:r w:rsidRPr="00115344">
        <w:rPr>
          <w:rFonts w:ascii="Times New Roman" w:eastAsia="Times New Roman" w:hAnsi="Times New Roman"/>
          <w:i/>
          <w:sz w:val="24"/>
          <w:szCs w:val="24"/>
        </w:rPr>
        <w:t>odabrati:</w:t>
      </w:r>
      <w:r w:rsidRPr="00115344">
        <w:rPr>
          <w:rFonts w:ascii="Times New Roman" w:eastAsia="Times New Roman" w:hAnsi="Times New Roman"/>
          <w:sz w:val="24"/>
          <w:szCs w:val="24"/>
        </w:rPr>
        <w:t xml:space="preserve"> Prijavitelj </w:t>
      </w:r>
      <w:r w:rsidRPr="00115344">
        <w:rPr>
          <w:rFonts w:ascii="Times New Roman" w:eastAsia="Times New Roman" w:hAnsi="Times New Roman"/>
          <w:i/>
          <w:sz w:val="24"/>
          <w:szCs w:val="24"/>
        </w:rPr>
        <w:t xml:space="preserve">ili umetnuti, ako je primjenjivo - osoba po zakonu ovlaštena za zastupanje Prijavitelja </w:t>
      </w:r>
      <w:r w:rsidRPr="00115344">
        <w:rPr>
          <w:rFonts w:ascii="Times New Roman" w:eastAsia="Times New Roman" w:hAnsi="Times New Roman"/>
          <w:sz w:val="24"/>
          <w:szCs w:val="24"/>
        </w:rPr>
        <w:t>&gt;</w:t>
      </w:r>
    </w:p>
    <w:p w14:paraId="00B6780C" w14:textId="77777777" w:rsidR="0002084D" w:rsidRPr="00115344" w:rsidRDefault="0002084D" w:rsidP="00020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5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15344">
        <w:rPr>
          <w:rFonts w:ascii="Times New Roman" w:eastAsia="Times New Roman" w:hAnsi="Times New Roman"/>
          <w:sz w:val="24"/>
          <w:szCs w:val="24"/>
        </w:rPr>
        <w:t xml:space="preserve">Funkcija &lt; </w:t>
      </w:r>
      <w:r w:rsidRPr="00115344">
        <w:rPr>
          <w:rFonts w:ascii="Times New Roman" w:eastAsia="Times New Roman" w:hAnsi="Times New Roman"/>
          <w:i/>
          <w:sz w:val="24"/>
          <w:szCs w:val="24"/>
        </w:rPr>
        <w:t xml:space="preserve">umetnuti  </w:t>
      </w:r>
      <w:r w:rsidRPr="00115344">
        <w:rPr>
          <w:rFonts w:ascii="Times New Roman" w:eastAsia="Times New Roman" w:hAnsi="Times New Roman"/>
          <w:sz w:val="24"/>
          <w:szCs w:val="24"/>
        </w:rPr>
        <w:t xml:space="preserve">&gt;  </w:t>
      </w:r>
    </w:p>
    <w:p w14:paraId="7328118A" w14:textId="77777777" w:rsidR="0002084D" w:rsidRPr="0002084D" w:rsidRDefault="0002084D" w:rsidP="00020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5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15344">
        <w:rPr>
          <w:rFonts w:ascii="Times New Roman" w:eastAsia="Times New Roman" w:hAnsi="Times New Roman"/>
          <w:sz w:val="24"/>
          <w:szCs w:val="24"/>
        </w:rPr>
        <w:t xml:space="preserve">Potpis &lt; </w:t>
      </w:r>
      <w:r w:rsidRPr="00115344">
        <w:rPr>
          <w:rFonts w:ascii="Times New Roman" w:eastAsia="Times New Roman" w:hAnsi="Times New Roman"/>
          <w:i/>
          <w:sz w:val="24"/>
          <w:szCs w:val="24"/>
        </w:rPr>
        <w:t xml:space="preserve">umetnuti  </w:t>
      </w:r>
      <w:r w:rsidRPr="00115344">
        <w:rPr>
          <w:rFonts w:ascii="Times New Roman" w:eastAsia="Times New Roman" w:hAnsi="Times New Roman"/>
          <w:sz w:val="24"/>
          <w:szCs w:val="24"/>
        </w:rPr>
        <w:t>&gt;  i pečat  &lt; umetnuti  &gt;</w:t>
      </w:r>
    </w:p>
    <w:p w14:paraId="6335C947" w14:textId="77777777" w:rsidR="0002084D" w:rsidRPr="0002084D" w:rsidRDefault="0002084D" w:rsidP="0002084D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p w14:paraId="381967B4" w14:textId="77777777" w:rsidR="0002084D" w:rsidRDefault="0002084D"/>
    <w:sectPr w:rsidR="0002084D" w:rsidSect="009315B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89F12" w14:textId="77777777" w:rsidR="009315B2" w:rsidRDefault="009315B2" w:rsidP="009315B2">
      <w:pPr>
        <w:spacing w:after="0" w:line="240" w:lineRule="auto"/>
      </w:pPr>
      <w:r>
        <w:separator/>
      </w:r>
    </w:p>
  </w:endnote>
  <w:endnote w:type="continuationSeparator" w:id="0">
    <w:p w14:paraId="313D5664" w14:textId="77777777" w:rsidR="009315B2" w:rsidRDefault="009315B2" w:rsidP="0093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ollkorn">
    <w:altName w:val="Cambria Math"/>
    <w:charset w:val="EE"/>
    <w:family w:val="auto"/>
    <w:pitch w:val="variable"/>
    <w:sig w:usb0="00000001" w:usb1="420060FB" w:usb2="03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D9CE2" w14:textId="77777777" w:rsidR="009315B2" w:rsidRDefault="009315B2" w:rsidP="009315B2">
      <w:pPr>
        <w:spacing w:after="0" w:line="240" w:lineRule="auto"/>
      </w:pPr>
      <w:r>
        <w:separator/>
      </w:r>
    </w:p>
  </w:footnote>
  <w:footnote w:type="continuationSeparator" w:id="0">
    <w:p w14:paraId="511562A8" w14:textId="77777777" w:rsidR="009315B2" w:rsidRDefault="009315B2" w:rsidP="0093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E8108" w14:textId="1B627AD4" w:rsidR="009315B2" w:rsidRPr="009315B2" w:rsidRDefault="009315B2" w:rsidP="009315B2">
    <w:pPr>
      <w:pStyle w:val="Zaglavlje"/>
      <w:jc w:val="right"/>
      <w:rPr>
        <w:rFonts w:ascii="Gill Sans MT" w:hAnsi="Gill Sans MT"/>
        <w:color w:val="AEAAAA" w:themeColor="background2" w:themeShade="BF"/>
        <w:sz w:val="28"/>
        <w:szCs w:val="28"/>
      </w:rPr>
    </w:pPr>
    <w:r w:rsidRPr="009315B2">
      <w:rPr>
        <w:rFonts w:ascii="Gill Sans MT" w:hAnsi="Gill Sans MT"/>
        <w:color w:val="AEAAAA" w:themeColor="background2" w:themeShade="BF"/>
        <w:sz w:val="28"/>
        <w:szCs w:val="28"/>
      </w:rPr>
      <w:t xml:space="preserve">Obrazac 6 </w:t>
    </w:r>
    <w:r w:rsidR="003B546A">
      <w:rPr>
        <w:rFonts w:ascii="Gill Sans MT" w:hAnsi="Gill Sans MT"/>
        <w:color w:val="AEAAAA" w:themeColor="background2" w:themeShade="BF"/>
        <w:sz w:val="28"/>
        <w:szCs w:val="28"/>
      </w:rPr>
      <w:t>– I. izmjena Poziva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33EE9"/>
    <w:multiLevelType w:val="hybridMultilevel"/>
    <w:tmpl w:val="4B8CA94C"/>
    <w:lvl w:ilvl="0" w:tplc="5E1827D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2439"/>
    <w:multiLevelType w:val="hybridMultilevel"/>
    <w:tmpl w:val="EF7AA792"/>
    <w:lvl w:ilvl="0" w:tplc="9D7C271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15051"/>
    <w:multiLevelType w:val="multilevel"/>
    <w:tmpl w:val="79E857A6"/>
    <w:lvl w:ilvl="0">
      <w:start w:val="1"/>
      <w:numFmt w:val="decimal"/>
      <w:lvlText w:val="%1."/>
      <w:lvlJc w:val="left"/>
      <w:pPr>
        <w:ind w:left="900" w:hanging="450"/>
      </w:pPr>
      <w:rPr>
        <w:rFonts w:hint="default"/>
        <w:color w:val="2C398B"/>
      </w:rPr>
    </w:lvl>
    <w:lvl w:ilvl="1">
      <w:start w:val="1"/>
      <w:numFmt w:val="decimal"/>
      <w:pStyle w:val="Naslov2"/>
      <w:lvlText w:val="%2."/>
      <w:lvlJc w:val="left"/>
      <w:pPr>
        <w:ind w:left="1890" w:hanging="720"/>
      </w:pPr>
      <w:rPr>
        <w:rFonts w:ascii="Lucida Sans" w:hAnsi="Lucida Sans" w:hint="default"/>
        <w:color w:val="C00000"/>
      </w:rPr>
    </w:lvl>
    <w:lvl w:ilvl="2">
      <w:start w:val="1"/>
      <w:numFmt w:val="decimal"/>
      <w:lvlText w:val="%2.%3."/>
      <w:lvlJc w:val="left"/>
      <w:pPr>
        <w:ind w:left="2610" w:hanging="720"/>
      </w:pPr>
      <w:rPr>
        <w:rFonts w:ascii="Lucida Sans" w:hAnsi="Lucida San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."/>
      <w:lvlJc w:val="left"/>
      <w:pPr>
        <w:ind w:left="369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decimal"/>
      <w:lvlText w:val="%2.%3.%4.%5."/>
      <w:lvlJc w:val="left"/>
      <w:pPr>
        <w:ind w:left="441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0" w:hanging="2160"/>
      </w:pPr>
      <w:rPr>
        <w:rFonts w:hint="default"/>
      </w:rPr>
    </w:lvl>
  </w:abstractNum>
  <w:abstractNum w:abstractNumId="3" w15:restartNumberingAfterBreak="0">
    <w:nsid w:val="62581A72"/>
    <w:multiLevelType w:val="hybridMultilevel"/>
    <w:tmpl w:val="A196908A"/>
    <w:lvl w:ilvl="0" w:tplc="79B0FAE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C1E0F"/>
    <w:multiLevelType w:val="hybridMultilevel"/>
    <w:tmpl w:val="B2D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73633B"/>
    <w:multiLevelType w:val="hybridMultilevel"/>
    <w:tmpl w:val="127A526E"/>
    <w:lvl w:ilvl="0" w:tplc="5ADC3FBA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F96E0E"/>
    <w:multiLevelType w:val="hybridMultilevel"/>
    <w:tmpl w:val="D92031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0C014E"/>
    <w:multiLevelType w:val="hybridMultilevel"/>
    <w:tmpl w:val="63506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67"/>
    <w:rsid w:val="0002084D"/>
    <w:rsid w:val="00036CDF"/>
    <w:rsid w:val="00115344"/>
    <w:rsid w:val="001B6DC6"/>
    <w:rsid w:val="001E7FED"/>
    <w:rsid w:val="002305BA"/>
    <w:rsid w:val="003B546A"/>
    <w:rsid w:val="0043431E"/>
    <w:rsid w:val="00475984"/>
    <w:rsid w:val="004E0AED"/>
    <w:rsid w:val="005173C4"/>
    <w:rsid w:val="005359C4"/>
    <w:rsid w:val="00573A00"/>
    <w:rsid w:val="00615D6D"/>
    <w:rsid w:val="006A12B4"/>
    <w:rsid w:val="006A7967"/>
    <w:rsid w:val="006D20D7"/>
    <w:rsid w:val="007718AB"/>
    <w:rsid w:val="0083082B"/>
    <w:rsid w:val="00882087"/>
    <w:rsid w:val="008F7893"/>
    <w:rsid w:val="009315B2"/>
    <w:rsid w:val="009738AB"/>
    <w:rsid w:val="009E1F34"/>
    <w:rsid w:val="00AF10FB"/>
    <w:rsid w:val="00B347E3"/>
    <w:rsid w:val="00B5619F"/>
    <w:rsid w:val="00BC4FB9"/>
    <w:rsid w:val="00BE61EB"/>
    <w:rsid w:val="00D93AC8"/>
    <w:rsid w:val="00E96794"/>
    <w:rsid w:val="00E97E08"/>
    <w:rsid w:val="00F51E83"/>
    <w:rsid w:val="00FA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A69C4"/>
  <w15:chartTrackingRefBased/>
  <w15:docId w15:val="{FED7D479-2BB6-456F-BF92-1812DF24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967"/>
    <w:pPr>
      <w:spacing w:after="120" w:line="276" w:lineRule="auto"/>
      <w:jc w:val="both"/>
    </w:pPr>
    <w:rPr>
      <w:rFonts w:ascii="Arial" w:eastAsia="Calibri" w:hAnsi="Arial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36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A7967"/>
    <w:pPr>
      <w:keepNext/>
      <w:numPr>
        <w:ilvl w:val="1"/>
        <w:numId w:val="1"/>
      </w:numPr>
      <w:spacing w:before="120" w:after="240"/>
      <w:jc w:val="left"/>
      <w:outlineLvl w:val="1"/>
    </w:pPr>
    <w:rPr>
      <w:b/>
      <w:sz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35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6C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A7967"/>
    <w:rPr>
      <w:rFonts w:ascii="Arial" w:eastAsia="Calibri" w:hAnsi="Arial" w:cs="Times New Roman"/>
      <w:b/>
      <w:sz w:val="28"/>
      <w:lang w:eastAsia="hr-HR"/>
    </w:rPr>
  </w:style>
  <w:style w:type="table" w:customStyle="1" w:styleId="TableGrid1">
    <w:name w:val="Table Grid1"/>
    <w:basedOn w:val="Obinatablica"/>
    <w:next w:val="Reetkatablice"/>
    <w:uiPriority w:val="39"/>
    <w:rsid w:val="002305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23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39"/>
    <w:rsid w:val="002305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3,Akapit z listą BS,Bullet1,Bullets,Ha,Heading 11,IBL List Paragraph,L,List Paragraph (numbered (a)),List Paragraph 1,List Paragraph nowy,List Paragraph-ExecSummary,List_Paragraph,Liste 1,Multilevel para_II,ReferencesCxSpLast,l,lp1,본문(내용)"/>
    <w:basedOn w:val="Normal"/>
    <w:link w:val="OdlomakpopisaChar"/>
    <w:uiPriority w:val="34"/>
    <w:qFormat/>
    <w:rsid w:val="002305BA"/>
    <w:pPr>
      <w:spacing w:before="120" w:after="60" w:line="240" w:lineRule="auto"/>
      <w:jc w:val="left"/>
    </w:pPr>
    <w:rPr>
      <w:color w:val="000000"/>
    </w:rPr>
  </w:style>
  <w:style w:type="character" w:customStyle="1" w:styleId="OdlomakpopisaChar">
    <w:name w:val="Odlomak popisa Char"/>
    <w:aliases w:val="3 Char,Akapit z listą BS Char,Bullet1 Char,Bullets Char,Ha Char,Heading 11 Char,IBL List Paragraph Char,L Char,List Paragraph (numbered (a)) Char,List Paragraph 1 Char,List Paragraph nowy Char,List Paragraph-ExecSummary Char,l Char"/>
    <w:link w:val="Odlomakpopisa"/>
    <w:uiPriority w:val="34"/>
    <w:locked/>
    <w:rsid w:val="002305BA"/>
    <w:rPr>
      <w:rFonts w:ascii="Arial" w:eastAsia="Calibri" w:hAnsi="Arial" w:cs="Times New Roman"/>
      <w:color w:val="000000"/>
      <w:lang w:eastAsia="hr-HR"/>
    </w:rPr>
  </w:style>
  <w:style w:type="table" w:customStyle="1" w:styleId="TableGrid11">
    <w:name w:val="Table Grid11"/>
    <w:basedOn w:val="Obinatablica"/>
    <w:next w:val="Reetkatablice"/>
    <w:uiPriority w:val="39"/>
    <w:rsid w:val="002305BA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Komponente">
    <w:name w:val="Normal Komponente"/>
    <w:basedOn w:val="Normal"/>
    <w:link w:val="NormalKomponenteChar"/>
    <w:qFormat/>
    <w:rsid w:val="002305BA"/>
    <w:pPr>
      <w:widowControl w:val="0"/>
      <w:autoSpaceDE w:val="0"/>
      <w:autoSpaceDN w:val="0"/>
      <w:spacing w:before="60" w:after="60"/>
    </w:pPr>
    <w:rPr>
      <w:lang w:val="en-US"/>
    </w:rPr>
  </w:style>
  <w:style w:type="character" w:customStyle="1" w:styleId="NormalKomponenteChar">
    <w:name w:val="Normal Komponente Char"/>
    <w:link w:val="NormalKomponente"/>
    <w:rsid w:val="002305BA"/>
    <w:rPr>
      <w:rFonts w:ascii="Arial" w:eastAsia="Calibri" w:hAnsi="Arial" w:cs="Times New Roman"/>
      <w:lang w:val="en-US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6CDF"/>
    <w:rPr>
      <w:rFonts w:asciiTheme="majorHAnsi" w:eastAsiaTheme="majorEastAsia" w:hAnsiTheme="majorHAnsi" w:cstheme="majorBidi"/>
      <w:color w:val="1F4D78" w:themeColor="accent1" w:themeShade="7F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36C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359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3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15B2"/>
    <w:rPr>
      <w:rFonts w:ascii="Arial" w:eastAsia="Calibri" w:hAnsi="Arial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3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15B2"/>
    <w:rPr>
      <w:rFonts w:ascii="Arial" w:eastAsia="Calibri" w:hAnsi="Arial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5B2"/>
    <w:rPr>
      <w:rFonts w:ascii="Segoe UI" w:eastAsia="Calibri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E61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61E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61EB"/>
    <w:rPr>
      <w:rFonts w:ascii="Arial" w:eastAsia="Calibri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61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61EB"/>
    <w:rPr>
      <w:rFonts w:ascii="Arial" w:eastAsia="Calibri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Emić</dc:creator>
  <cp:keywords/>
  <dc:description/>
  <cp:lastModifiedBy>MINGOR</cp:lastModifiedBy>
  <cp:revision>15</cp:revision>
  <dcterms:created xsi:type="dcterms:W3CDTF">2022-03-11T07:05:00Z</dcterms:created>
  <dcterms:modified xsi:type="dcterms:W3CDTF">2022-06-07T10:23:00Z</dcterms:modified>
</cp:coreProperties>
</file>