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9A4" w14:textId="5DB7B118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CC0E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B1F3F18" w14:textId="77777777" w:rsidR="006E10A5" w:rsidRDefault="006E10A5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1266B" w14:textId="77777777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F3C6A5" w14:textId="77777777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0005D3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922854" w14:textId="77777777" w:rsidR="002D5432" w:rsidRPr="0014602E" w:rsidRDefault="002D543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Poštujući načelo </w:t>
      </w:r>
      <w:r w:rsidRPr="002D5432">
        <w:rPr>
          <w:rFonts w:ascii="Times New Roman" w:eastAsia="Times New Roman" w:hAnsi="Times New Roman" w:cs="Times New Roman"/>
          <w:b/>
          <w:sz w:val="24"/>
          <w:szCs w:val="24"/>
        </w:rPr>
        <w:t>zabrane višestrukog dodjeljivanja bespovratnih sredstava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, osobno i u ime &lt;odabrati: Prijavitelja / Partnera &gt; potvrđujem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proračuna </w:t>
      </w:r>
      <w:r w:rsidR="00BE78D0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nisu primljena bespovratna sredstva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koji se odnose na isto djelovanje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2A4CF" w14:textId="182C873C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troškovi (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izdaci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(izdatci),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trošak (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izdatak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prijavljen u zahtjevu za plaćanje </w:t>
      </w:r>
      <w:r w:rsidR="00D92FF7">
        <w:rPr>
          <w:rFonts w:ascii="Times New Roman" w:eastAsia="Times New Roman" w:hAnsi="Times New Roman" w:cs="Times New Roman"/>
          <w:sz w:val="24"/>
          <w:szCs w:val="24"/>
        </w:rPr>
        <w:t>iz Mehanizma za oporavak i otpornost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nije prijavljen za potporu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(izdatak)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0A37501D" w14:textId="028C7286" w:rsidR="00C746C3" w:rsidRPr="00D92FF7" w:rsidRDefault="002C7DAE" w:rsidP="00D92FF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3759839"/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380DF5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38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AB6C7B" w14:textId="77777777" w:rsidR="00832BB7" w:rsidRPr="005066A0" w:rsidRDefault="00832BB7" w:rsidP="00832BB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5FF12" w14:textId="0AEAC613" w:rsidR="00D92FF7" w:rsidRDefault="00D92FF7" w:rsidP="00D50866">
      <w:pPr>
        <w:pStyle w:val="Bezproreda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ili osob</w:t>
      </w:r>
      <w:r w:rsidR="00D50866"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</w:t>
      </w:r>
      <w:r w:rsidR="00D50866"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zakonu za zastupanje prijavitelja (osobe koja je član upravnog, upravljačkog ili nadzornog tijela ili ima ovlasti zastupanja, donošenja odluka ili nadzora toga gospodarskog subjekta) </w:t>
      </w:r>
      <w:r w:rsidR="00D50866"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D508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3BC26E39" w14:textId="77777777" w:rsidR="00D50866" w:rsidRPr="00D50866" w:rsidRDefault="00D50866" w:rsidP="00D50866">
      <w:pPr>
        <w:pStyle w:val="Bezproreda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7203E" w14:textId="1AEAEEA3" w:rsidR="00D92FF7" w:rsidRPr="00D92FF7" w:rsidRDefault="00D92FF7" w:rsidP="00D50866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sudjelovanje u zločinačkoj organizaciji, na temelju članka 328. (zločinačko udruženje) i članka 329. (počinjenje kaznenog djela u sastavu zločinačkog udruženja) iz Kaznenog zakona („Narodne novine“, br. 125/11, 144/12, 56/15, 61/15, 101/17, 118/18 i 126/19), članka 333. (udruživanje za počinjenje kaznenih djela) iz Kaznenog zakona („Narodne novine“, br. 110/97, 27/98, 50/00, 129/00, 51/01, 111/03, 190/03, 105/04, 84/05, 71/06, 110/07, 152/08, 57/11, 77/11 i 143/12) </w:t>
      </w:r>
    </w:p>
    <w:p w14:paraId="709CC808" w14:textId="41D1A6E0" w:rsidR="00D92FF7" w:rsidRPr="00D92FF7" w:rsidRDefault="00D92FF7" w:rsidP="00D50866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terorizam ili kaznena djela povezana s terorističkim aktivnostima, na temelju članka 97. (terorizam), članka 99. (javno poticanje na terorizam), članka 100. (novačenje za terorizam), članka 101. (obuka za terorizam), članka 101.a (putovanje u svrhu terorizma) i članka 102. (terorističko udruženje) Kaznenog zakona („Narodne novine“, br. 125/11, 144/12, 56/15, 61/15, 101/17, 118/18 i 126/19) i članka 169. (terorizam), članka 169.a (javno poticanje na terorizam) i članka 169.b (novačenje i obuka za terorizam) iz Kaznenog zakona („Narodne novine“, br. 110/97, 27/98, 50/00, 129/00, 51/01, 111/03, 190/03, 105/04, 84/05, 71/06, 110/07, 152/08, 57/11, 77/11 i 143/12) </w:t>
      </w:r>
    </w:p>
    <w:p w14:paraId="49B2CF1F" w14:textId="22FBBA0A" w:rsidR="00D92FF7" w:rsidRPr="00D92FF7" w:rsidRDefault="00D92FF7" w:rsidP="00D50866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pranje novca ili financiranje terorizma, na temelju članka 98. (financiranje terorizma) i članka 265. (pranje novca) Kaznenog zakona („Narodne novine“, br. 125/2011, 144/2012, 56/2015, 61/2015, 101/2017, 118/2018 i 126/19) i članka 279. (pranje novca) iz Kaznenog zakona („Narodne novine“, br. 110/97, 27/98, 50/00, 129/00, 51/01, 111/03, 190/03, 105/04, 84/05, 71/06, 110/07, 152/08, 57/11, 77/11 i 143/12) </w:t>
      </w:r>
    </w:p>
    <w:p w14:paraId="6BC0A79C" w14:textId="2E1CE33B" w:rsidR="00D92FF7" w:rsidRPr="00D92FF7" w:rsidRDefault="00D92FF7" w:rsidP="00D50866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(„Narodne novine“, br. 125/11, 144/12, 56/15, 61/15, 101/17, 118/18 i 126/19) i članka 175. (trgovanje ljudima i ropstvo) iz Kaznenog zakona („Narodne novine“, br. 110/97, 27/98, 50/00, 129/00, 51/01, 111/03, 190/03, 105/04, 84/05, 71/06, 110/07, 152/08, 57/11, 77/11 i 143/12) </w:t>
      </w:r>
    </w:p>
    <w:p w14:paraId="58EAF339" w14:textId="254620DB" w:rsidR="00D92FF7" w:rsidRPr="00D92FF7" w:rsidRDefault="00D92FF7" w:rsidP="00D50866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(„Narodne novine“, br. 125/11, 144/12, 56/15, 61/15, 101/17, 118/18 i 126/19)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110/97, 27/98, 50/00, 129/00, 51/01, 111/03, 190/03, 105/04, 84/05, 71/06, 110/07, 152/08, 57/11, 77/11 i 143/12) </w:t>
      </w:r>
    </w:p>
    <w:p w14:paraId="4881ACBF" w14:textId="0E6743E8" w:rsidR="00D92FF7" w:rsidRPr="00D92FF7" w:rsidRDefault="00D92FF7" w:rsidP="00D50866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2F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(„Narodne novine“, br. 125/11, 144/12, 56/15, 61/15, 101/17, 118/18 i 126/19) i članka 224. (prijevara), članka 293. (prijevara u gospodarskom poslovanju) i članka 286. (utaja poreza i drugih davanja) iz Kaznenog zakona („Narodne novine“, br. 110/97, 27/98, 50/00, 129/00, 51/01, 111/03, 190/03, 105/04, 84/05, 71/06, 110/07, 152/08, 57/11, 77/11 i 143/12) </w:t>
      </w:r>
    </w:p>
    <w:p w14:paraId="60061E4C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4D6478" w14:textId="343037CD" w:rsidR="00D50866" w:rsidRPr="00D50866" w:rsidRDefault="00D50866" w:rsidP="00870043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66">
        <w:rPr>
          <w:rFonts w:ascii="Times New Roman" w:eastAsia="Times New Roman" w:hAnsi="Times New Roman" w:cs="Times New Roman"/>
          <w:sz w:val="24"/>
          <w:szCs w:val="24"/>
        </w:rPr>
        <w:t>prijavitelj podlijež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0866">
        <w:rPr>
          <w:rFonts w:ascii="Times New Roman" w:eastAsia="Times New Roman" w:hAnsi="Times New Roman" w:cs="Times New Roman"/>
          <w:sz w:val="24"/>
          <w:szCs w:val="24"/>
        </w:rPr>
        <w:t xml:space="preserve"> neizvršenom nalogu za povrat sredstava na temelju prethodne odluke Komisije kojom se potpora ocjenjuje nezakonitom i nespojivom s unutarnjim tržištem </w:t>
      </w:r>
    </w:p>
    <w:p w14:paraId="2BF935CB" w14:textId="77777777" w:rsidR="00D50866" w:rsidRDefault="00D50866" w:rsidP="00870043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866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u</w:t>
      </w:r>
      <w:r w:rsidRPr="00D50866">
        <w:rPr>
          <w:rFonts w:ascii="Times New Roman" w:eastAsia="Times New Roman" w:hAnsi="Times New Roman" w:cs="Times New Roman"/>
          <w:sz w:val="24"/>
          <w:szCs w:val="24"/>
        </w:rPr>
        <w:t xml:space="preserve"> teškoćama kako je definirano člankom 2., točkom 18. Uredbe Komisije (EU) br. 651/2014 od 17. lipnja 2014. o ocjenjivanju određenih kategorija potpora </w:t>
      </w:r>
      <w:r w:rsidRPr="00D508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spojivima s unutarnjim tržištem u primjeni članaka 107. i 108. Ugovora o funkcioniranju Europske unije (SL L 187, 26.6.2014.) </w:t>
      </w:r>
    </w:p>
    <w:p w14:paraId="79CE8010" w14:textId="0A2F886C" w:rsidR="002C17C1" w:rsidRPr="0014602E" w:rsidRDefault="002C17C1" w:rsidP="00870043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</w:t>
      </w:r>
      <w:proofErr w:type="spellStart"/>
      <w:r w:rsidRPr="0014602E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prijavitelja/partnera (ako oni nemaju poslovni </w:t>
      </w:r>
      <w:proofErr w:type="spellStart"/>
      <w:r w:rsidRPr="0014602E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prihvatljivim da prijavitelj/korisnik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4B94D5A5" w14:textId="77777777" w:rsidR="002C17C1" w:rsidRPr="0014602E" w:rsidRDefault="002C17C1" w:rsidP="0087004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A5674" w14:textId="5FA5E412" w:rsidR="002C17C1" w:rsidRPr="00B0157C" w:rsidRDefault="00EA4E90" w:rsidP="00870043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7C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="00D50866" w:rsidRPr="00B0157C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B0157C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="002C17C1" w:rsidRPr="00B0157C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80DF5" w:rsidRPr="00B015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17C1" w:rsidRPr="00B0157C">
        <w:rPr>
          <w:rFonts w:ascii="Times New Roman" w:eastAsia="Times New Roman" w:hAnsi="Times New Roman" w:cs="Times New Roman"/>
          <w:b/>
          <w:sz w:val="24"/>
          <w:szCs w:val="24"/>
        </w:rPr>
        <w:t>zbog neispunjavanja obveza iz Ugovora o dodjeli bespovratnih sredstva</w:t>
      </w:r>
      <w:r w:rsidR="002C17C1" w:rsidRPr="00B0157C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B0157C">
        <w:rPr>
          <w:rFonts w:ascii="Times New Roman" w:eastAsia="Times New Roman" w:hAnsi="Times New Roman" w:cs="Times New Roman"/>
          <w:sz w:val="24"/>
          <w:szCs w:val="24"/>
        </w:rPr>
        <w:t>Unije</w:t>
      </w:r>
    </w:p>
    <w:p w14:paraId="3DEEC669" w14:textId="77777777" w:rsidR="002C17C1" w:rsidRPr="0014602E" w:rsidRDefault="002C17C1" w:rsidP="0087004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7F71E" w14:textId="1CC4C9D3" w:rsidR="002C17C1" w:rsidRPr="0014602E" w:rsidRDefault="00390526" w:rsidP="00870043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 je znao ili je morao znati da je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</w:p>
    <w:p w14:paraId="3656B9AB" w14:textId="77777777" w:rsidR="002C17C1" w:rsidRPr="0014602E" w:rsidRDefault="002C17C1" w:rsidP="0087004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4090A" w14:textId="25CFAED2" w:rsidR="002C17C1" w:rsidRPr="00C4348F" w:rsidRDefault="00390526" w:rsidP="00870043">
      <w:pPr>
        <w:pStyle w:val="Odlomakpopisa"/>
        <w:numPr>
          <w:ilvl w:val="0"/>
          <w:numId w:val="30"/>
        </w:numPr>
        <w:spacing w:after="0"/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A6CEC7D" w:rsidRPr="61452A0F">
        <w:rPr>
          <w:rFonts w:ascii="Times New Roman" w:eastAsia="Times New Roman" w:hAnsi="Times New Roman" w:cs="Times New Roman"/>
          <w:sz w:val="24"/>
          <w:szCs w:val="24"/>
        </w:rPr>
        <w:t xml:space="preserve"> nije izvršio povrat </w:t>
      </w:r>
      <w:r w:rsidR="4A09082E" w:rsidRPr="61452A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71979291" w:rsidRPr="61452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66C23B" w:rsidRPr="61452A0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65B5FE04" w:rsidRPr="61452A0F">
        <w:rPr>
          <w:rFonts w:ascii="Times New Roman" w:eastAsia="Times New Roman" w:hAnsi="Times New Roman" w:cs="Times New Roman"/>
          <w:sz w:val="24"/>
          <w:szCs w:val="24"/>
        </w:rPr>
        <w:t>od</w:t>
      </w:r>
      <w:r w:rsidR="670A0A15" w:rsidRPr="61452A0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4E42AC" w14:textId="77777777" w:rsidR="008164F1" w:rsidRPr="000D62AD" w:rsidRDefault="00CD449E" w:rsidP="00870043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</w:t>
      </w:r>
      <w:r w:rsidR="00380DF5">
        <w:rPr>
          <w:rFonts w:ascii="Times New Roman" w:eastAsia="Times New Roman" w:hAnsi="Times New Roman" w:cs="Times New Roman"/>
          <w:sz w:val="24"/>
          <w:szCs w:val="24"/>
        </w:rPr>
        <w:t xml:space="preserve">nadležnog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kojim se odbija prigovor korisnika na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64F1" w:rsidRPr="000D62AD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0D62AD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 w:rsidRPr="000D6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14:paraId="7A55C13A" w14:textId="77777777" w:rsidR="00650376" w:rsidRPr="000D62AD" w:rsidRDefault="00650376" w:rsidP="00870043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ili</w:t>
      </w:r>
    </w:p>
    <w:p w14:paraId="40E4F195" w14:textId="77777777" w:rsidR="00CD449E" w:rsidRPr="000D62AD" w:rsidRDefault="00DC05D9" w:rsidP="00870043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B19A5F" w14:textId="36775A43" w:rsidR="00CA409E" w:rsidRPr="00390526" w:rsidRDefault="00CA409E" w:rsidP="00870043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26">
        <w:rPr>
          <w:rFonts w:ascii="Times New Roman" w:eastAsia="Times New Roman" w:hAnsi="Times New Roman" w:cs="Times New Roman"/>
          <w:sz w:val="24"/>
          <w:szCs w:val="24"/>
        </w:rPr>
        <w:t>zakašnjenja uplate dospjelog obroka (u slučaju odobrenog obročnog plaćanja</w:t>
      </w:r>
      <w:r w:rsidR="00E8384D" w:rsidRPr="0039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84D" w:rsidRPr="00390526">
        <w:rPr>
          <w:rFonts w:ascii="Times New Roman" w:eastAsia="Calibri" w:hAnsi="Times New Roman" w:cs="Times New Roman"/>
          <w:sz w:val="24"/>
          <w:szCs w:val="24"/>
        </w:rPr>
        <w:t xml:space="preserve">po osnovi obveze povrata </w:t>
      </w:r>
      <w:r w:rsidR="00390526" w:rsidRPr="00390526">
        <w:rPr>
          <w:rFonts w:ascii="Times New Roman" w:eastAsia="Calibri" w:hAnsi="Times New Roman" w:cs="Times New Roman"/>
          <w:sz w:val="24"/>
          <w:szCs w:val="24"/>
        </w:rPr>
        <w:t xml:space="preserve">EU </w:t>
      </w:r>
      <w:r w:rsidR="00E8384D" w:rsidRPr="00390526">
        <w:rPr>
          <w:rFonts w:ascii="Times New Roman" w:eastAsia="Calibri" w:hAnsi="Times New Roman" w:cs="Times New Roman"/>
          <w:sz w:val="24"/>
          <w:szCs w:val="24"/>
        </w:rPr>
        <w:t>sredstava</w:t>
      </w:r>
      <w:r w:rsidRPr="0039052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5FB0818" w14:textId="77777777" w:rsidR="00CD449E" w:rsidRPr="00390526" w:rsidRDefault="00CD449E" w:rsidP="00870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73FA6" w14:textId="7FC47FC2" w:rsidR="00EE5A6E" w:rsidRDefault="00390526" w:rsidP="00870043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19ACB765" w:rsidRPr="61452A0F">
        <w:rPr>
          <w:rFonts w:ascii="Times New Roman" w:eastAsia="Times New Roman" w:hAnsi="Times New Roman" w:cs="Times New Roman"/>
          <w:sz w:val="24"/>
          <w:szCs w:val="24"/>
        </w:rPr>
        <w:t>rijavitelj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19ACB765" w:rsidRPr="61452A0F">
        <w:rPr>
          <w:rFonts w:ascii="Times New Roman" w:eastAsia="Times New Roman" w:hAnsi="Times New Roman" w:cs="Times New Roman"/>
          <w:sz w:val="24"/>
          <w:szCs w:val="24"/>
        </w:rPr>
        <w:t xml:space="preserve"> u postupku </w:t>
      </w:r>
      <w:r w:rsidR="65B5FE04" w:rsidRPr="61452A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</w:p>
    <w:p w14:paraId="53128261" w14:textId="77777777" w:rsidR="00EE6D16" w:rsidRPr="00390526" w:rsidRDefault="00EE6D16" w:rsidP="008700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F538D" w14:textId="5DD5528F" w:rsidR="006D68F8" w:rsidRDefault="71FEDA09" w:rsidP="00870043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1452A0F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462AC4D4" w:rsidRPr="61452A0F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18A9F8EB" w:rsidRPr="61452A0F">
        <w:rPr>
          <w:rFonts w:ascii="Times New Roman" w:eastAsia="Times New Roman" w:hAnsi="Times New Roman" w:cs="Times New Roman"/>
          <w:sz w:val="24"/>
          <w:szCs w:val="24"/>
        </w:rPr>
        <w:t>ka</w:t>
      </w:r>
      <w:r w:rsidR="462AC4D4" w:rsidRPr="61452A0F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</w:t>
      </w:r>
    </w:p>
    <w:p w14:paraId="62486C05" w14:textId="77777777" w:rsidR="006D68F8" w:rsidRPr="006D68F8" w:rsidRDefault="006D68F8" w:rsidP="00870043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14:paraId="7FB50927" w14:textId="781A1C83" w:rsidR="006D68F8" w:rsidRPr="006D68F8" w:rsidRDefault="00870043" w:rsidP="00870043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FEDA09" w:rsidRPr="61452A0F">
        <w:rPr>
          <w:rFonts w:ascii="Times New Roman" w:eastAsia="Times New Roman" w:hAnsi="Times New Roman" w:cs="Times New Roman"/>
          <w:sz w:val="24"/>
          <w:szCs w:val="24"/>
        </w:rPr>
        <w:t>projekt uključuje</w:t>
      </w:r>
      <w:r w:rsidR="7A5A6267" w:rsidRPr="61452A0F">
        <w:rPr>
          <w:rFonts w:ascii="Times New Roman" w:eastAsia="Times New Roman" w:hAnsi="Times New Roman" w:cs="Times New Roman"/>
          <w:sz w:val="24"/>
          <w:szCs w:val="24"/>
        </w:rPr>
        <w:t xml:space="preserve"> aktivnosti koje su bile dio operacije koja je, ili je trebala biti, podložna postupku povrata sredstava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1652C" w14:textId="77777777" w:rsidR="00EE5A6E" w:rsidRPr="00A36323" w:rsidRDefault="00EE5A6E" w:rsidP="00870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87B20" w14:textId="77777777" w:rsidR="002C17C1" w:rsidRPr="00C4348F" w:rsidRDefault="00DC05D9" w:rsidP="00870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C4348F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>kojem financijskom razdoblju j</w:t>
      </w:r>
      <w:r w:rsidR="008C4E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riječ  i o kojem izvoru je riječ (kada se radi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javnim sredstvima).</w:t>
      </w:r>
    </w:p>
    <w:p w14:paraId="4B99056E" w14:textId="77777777" w:rsidR="00DC05D9" w:rsidRPr="00EE5A6E" w:rsidRDefault="00DC05D9" w:rsidP="008700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73F2B" w14:textId="4C8C68AF" w:rsidR="00EE5A6E" w:rsidRDefault="00EE5A6E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3758703"/>
      <w:r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C092A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CC092A">
        <w:t xml:space="preserve"> </w:t>
      </w:r>
      <w:bookmarkEnd w:id="1"/>
      <w:r w:rsidRPr="00CC092A">
        <w:rPr>
          <w:rFonts w:ascii="Times New Roman" w:eastAsia="Times New Roman" w:hAnsi="Times New Roman" w:cs="Times New Roman"/>
          <w:sz w:val="24"/>
          <w:szCs w:val="24"/>
        </w:rPr>
        <w:t>Ako se prijavitelj/partner nalazi u nekoj od sit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uacija opisanoj u točkama </w:t>
      </w:r>
      <w:r w:rsidR="00390526">
        <w:rPr>
          <w:rFonts w:ascii="Times New Roman" w:eastAsia="Times New Roman" w:hAnsi="Times New Roman" w:cs="Times New Roman"/>
          <w:sz w:val="24"/>
          <w:szCs w:val="24"/>
        </w:rPr>
        <w:t>7) i 8)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jele bespovratnih sredstava uvjetuje se obvezom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lastRenderedPageBreak/>
        <w:t>da prijavitelj za sebe i svoje partnere uz ovu izjavu priloži dodatno pojašnjenje o namjeri i načinu povrata dugovanog iznosa</w:t>
      </w:r>
      <w:r w:rsidR="007A5676" w:rsidRPr="00CC092A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CC092A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Pri tome, odluka o financiranju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ne može donijeti, niti sklopiti ugovor o dodjeli bespovratnih sredstava, ako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CC092A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. Odluka podnošenja projektnog prijedloga, iako postoji jedna od situacija opisanih u točkama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526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90526">
        <w:rPr>
          <w:rFonts w:ascii="Times New Roman" w:eastAsia="Times New Roman" w:hAnsi="Times New Roman" w:cs="Times New Roman"/>
          <w:sz w:val="24"/>
          <w:szCs w:val="24"/>
        </w:rPr>
        <w:t>i 8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), isključiva je odgovornost prijavitelja, pri čemu se odriče bilo koja vrsta odgovornosti tijela koja sudjeluju u tom postupku ili tijela u sustavu upravljanja i kontrole EU fondovima.</w:t>
      </w:r>
    </w:p>
    <w:p w14:paraId="188AD1BE" w14:textId="6AB68C39" w:rsidR="00390526" w:rsidRDefault="003E68DC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="006218C6">
        <w:rPr>
          <w:rFonts w:ascii="Times New Roman" w:eastAsia="Times New Roman" w:hAnsi="Times New Roman" w:cs="Times New Roman"/>
          <w:sz w:val="24"/>
          <w:szCs w:val="24"/>
        </w:rPr>
        <w:t>uvjete prihvatljivosti projekta, p</w:t>
      </w:r>
      <w:r w:rsidR="006218C6" w:rsidRPr="006218C6">
        <w:rPr>
          <w:rFonts w:ascii="Times New Roman" w:eastAsia="Times New Roman" w:hAnsi="Times New Roman" w:cs="Times New Roman"/>
          <w:sz w:val="24"/>
          <w:szCs w:val="24"/>
        </w:rPr>
        <w:t>otpisom ove Izjave osobno i u ime &lt;</w:t>
      </w:r>
      <w:r w:rsidR="006218C6" w:rsidRPr="006218C6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6218C6" w:rsidRPr="006218C6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potvrđujem da su na strani &lt; </w:t>
      </w:r>
      <w:r w:rsidR="006218C6" w:rsidRPr="006218C6">
        <w:rPr>
          <w:rFonts w:ascii="Times New Roman" w:eastAsia="Times New Roman" w:hAnsi="Times New Roman" w:cs="Times New Roman"/>
          <w:i/>
          <w:sz w:val="24"/>
          <w:szCs w:val="24"/>
        </w:rPr>
        <w:t>odabrati</w:t>
      </w:r>
      <w:r w:rsidR="006218C6" w:rsidRPr="006218C6">
        <w:rPr>
          <w:rFonts w:ascii="Times New Roman" w:eastAsia="Times New Roman" w:hAnsi="Times New Roman" w:cs="Times New Roman"/>
          <w:sz w:val="24"/>
          <w:szCs w:val="24"/>
        </w:rPr>
        <w:t xml:space="preserve">: Prijavitelja / Partnera &gt; </w:t>
      </w:r>
      <w:r w:rsidR="006218C6">
        <w:rPr>
          <w:rFonts w:ascii="Times New Roman" w:eastAsia="Times New Roman" w:hAnsi="Times New Roman" w:cs="Times New Roman"/>
          <w:sz w:val="24"/>
          <w:szCs w:val="24"/>
        </w:rPr>
        <w:t xml:space="preserve">ispunjeni </w:t>
      </w:r>
      <w:r w:rsidR="00390526">
        <w:rPr>
          <w:rFonts w:ascii="Times New Roman" w:eastAsia="Times New Roman" w:hAnsi="Times New Roman" w:cs="Times New Roman"/>
          <w:b/>
          <w:sz w:val="24"/>
          <w:szCs w:val="24"/>
        </w:rPr>
        <w:t>uvjete prihvatljivosti projekta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8C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Symbol" w:eastAsia="Symbol" w:hAnsi="Symbol" w:cs="Symbol"/>
          <w:sz w:val="24"/>
          <w:szCs w:val="24"/>
        </w:rPr>
        <w:t>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526">
        <w:rPr>
          <w:rFonts w:ascii="Times New Roman" w:eastAsia="Times New Roman" w:hAnsi="Times New Roman" w:cs="Times New Roman"/>
          <w:sz w:val="24"/>
          <w:szCs w:val="24"/>
        </w:rPr>
        <w:t>sljedeće:</w:t>
      </w:r>
    </w:p>
    <w:p w14:paraId="62D35D2A" w14:textId="79E3F7B6" w:rsidR="00390526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043">
        <w:rPr>
          <w:rFonts w:ascii="Times New Roman" w:eastAsia="Times New Roman" w:hAnsi="Times New Roman" w:cs="Times New Roman"/>
          <w:sz w:val="24"/>
          <w:szCs w:val="24"/>
        </w:rPr>
        <w:t>predviđeno trajanje projekta je najduže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842B7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2B79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42B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07583A04" w14:textId="7F4435D4" w:rsidR="00390526" w:rsidRPr="00041981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projekt je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>u skladu sa odredbama svih relevantnih nacionalnih i EU zakonodavnih akata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sa pravilima o državnim potporama i ostalim primjenjivim pravilima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B65F87" w14:textId="053126C1" w:rsidR="00390526" w:rsidRPr="00041981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projekt se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>provod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se u potpunosti na teritoriju RH </w:t>
      </w:r>
    </w:p>
    <w:p w14:paraId="157BA11A" w14:textId="1F48EBE6" w:rsidR="00390526" w:rsidRPr="00041981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projekt u trenutku podnošenja projektnog prijedloga nije fizički niti financijski završen </w:t>
      </w:r>
    </w:p>
    <w:p w14:paraId="2D304BF5" w14:textId="39A30AC3" w:rsidR="00390526" w:rsidRPr="00390526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se dodana vrijednost, bilo u opsegu ili kvaliteti aktivnosti, ili u pogledu vremena potrebnog za ostvarenje cilja/ciljeva projekta </w:t>
      </w:r>
    </w:p>
    <w:p w14:paraId="6B0FAEB9" w14:textId="1CDE106A" w:rsidR="00390526" w:rsidRPr="00041981" w:rsidRDefault="00390526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će se provoditi na način da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se rezultati ulaganja koriste i očuvaju pod uvjetima pod kojima su odobreni, tijekom razdoblja od 5 godin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41981">
        <w:rPr>
          <w:rFonts w:ascii="Times New Roman" w:eastAsia="Times New Roman" w:hAnsi="Times New Roman" w:cs="Times New Roman"/>
          <w:sz w:val="24"/>
          <w:szCs w:val="24"/>
        </w:rPr>
        <w:t xml:space="preserve"> od završnog plaćanja korisniku </w:t>
      </w:r>
    </w:p>
    <w:p w14:paraId="1983739A" w14:textId="77777777" w:rsidR="00A64EED" w:rsidRDefault="00870043" w:rsidP="0087004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0526" w:rsidRPr="00041981">
        <w:rPr>
          <w:rFonts w:ascii="Times New Roman" w:hAnsi="Times New Roman"/>
          <w:sz w:val="24"/>
          <w:szCs w:val="24"/>
        </w:rPr>
        <w:t xml:space="preserve">projekt je u skladu s </w:t>
      </w:r>
      <w:r w:rsidR="00390526" w:rsidRPr="00041981">
        <w:rPr>
          <w:rFonts w:ascii="Times New Roman" w:eastAsia="Times New Roman" w:hAnsi="Times New Roman"/>
          <w:sz w:val="24"/>
          <w:szCs w:val="24"/>
        </w:rPr>
        <w:t>horizontalnim politikama EU</w:t>
      </w:r>
      <w:r w:rsidR="00390526" w:rsidRPr="00041981">
        <w:rPr>
          <w:rFonts w:ascii="Times New Roman" w:hAnsi="Times New Roman"/>
          <w:sz w:val="24"/>
          <w:szCs w:val="24"/>
        </w:rPr>
        <w:t xml:space="preserve"> o održivome razvoju, ravnopravnosti spolova i nediskriminaciji</w:t>
      </w:r>
    </w:p>
    <w:p w14:paraId="7DAE9355" w14:textId="634F6440" w:rsidR="00390526" w:rsidRDefault="00A64EED" w:rsidP="0087004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4EED">
        <w:rPr>
          <w:rFonts w:ascii="Times New Roman" w:hAnsi="Times New Roman"/>
          <w:sz w:val="24"/>
          <w:szCs w:val="24"/>
        </w:rPr>
        <w:t xml:space="preserve">&lt;ako je primjenjivo &gt; </w:t>
      </w:r>
      <w:r>
        <w:rPr>
          <w:rFonts w:ascii="Times New Roman" w:hAnsi="Times New Roman"/>
          <w:sz w:val="24"/>
          <w:szCs w:val="24"/>
        </w:rPr>
        <w:t>za projekt su osigurana dostatna sredstva za zatvaranje financijske konstrukcije</w:t>
      </w:r>
      <w:r w:rsidR="00870043">
        <w:rPr>
          <w:rFonts w:ascii="Times New Roman" w:hAnsi="Times New Roman"/>
          <w:sz w:val="24"/>
          <w:szCs w:val="24"/>
        </w:rPr>
        <w:t>.</w:t>
      </w:r>
    </w:p>
    <w:p w14:paraId="1911AFE9" w14:textId="109CF2AD" w:rsidR="79DB8ECE" w:rsidRPr="00C9186C" w:rsidRDefault="79DB8ECE" w:rsidP="00C9186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6C">
        <w:rPr>
          <w:rFonts w:ascii="Times New Roman" w:eastAsia="Times New Roman" w:hAnsi="Times New Roman" w:cs="Times New Roman"/>
          <w:sz w:val="24"/>
          <w:szCs w:val="24"/>
        </w:rPr>
        <w:t xml:space="preserve">Vezano za </w:t>
      </w:r>
      <w:r w:rsidRPr="009F497E">
        <w:rPr>
          <w:rFonts w:ascii="Times New Roman" w:eastAsia="Times New Roman" w:hAnsi="Times New Roman" w:cs="Times New Roman"/>
          <w:b/>
          <w:bCs/>
          <w:sz w:val="24"/>
          <w:szCs w:val="24"/>
        </w:rPr>
        <w:t>poštivanje pravila o državnim potporama</w:t>
      </w:r>
      <w:r w:rsidRPr="00C9186C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Pr="00C9186C">
        <w:rPr>
          <w:rFonts w:ascii="Symbol" w:eastAsia="Symbol" w:hAnsi="Symbol" w:cs="Symbol"/>
          <w:sz w:val="24"/>
          <w:szCs w:val="24"/>
        </w:rPr>
        <w:t></w:t>
      </w:r>
      <w:r w:rsidRPr="00C91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86C">
        <w:rPr>
          <w:rFonts w:ascii="Times New Roman" w:eastAsia="Times New Roman" w:hAnsi="Times New Roman" w:cs="Times New Roman"/>
          <w:i/>
          <w:iCs/>
          <w:sz w:val="24"/>
          <w:szCs w:val="24"/>
        </w:rPr>
        <w:t>odabrati:</w:t>
      </w:r>
      <w:r w:rsidRPr="00C9186C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potvrđujem da:</w:t>
      </w:r>
    </w:p>
    <w:p w14:paraId="7DD4997B" w14:textId="28463E64" w:rsidR="79DB8ECE" w:rsidRPr="00C9186C" w:rsidRDefault="79DB8ECE" w:rsidP="00C9186C">
      <w:pPr>
        <w:pStyle w:val="Odlomakpopisa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6C">
        <w:rPr>
          <w:rFonts w:ascii="Times New Roman" w:eastAsia="Times New Roman" w:hAnsi="Times New Roman" w:cs="Times New Roman"/>
          <w:sz w:val="24"/>
          <w:szCs w:val="24"/>
        </w:rPr>
        <w:t>se dodijeljena sredstva temeljem ovog postupka izravne dodjele neće koristiti za ekonomske djelatnosti,</w:t>
      </w:r>
    </w:p>
    <w:p w14:paraId="297E878D" w14:textId="6ECD0997" w:rsidR="79DB8ECE" w:rsidRPr="006E10A5" w:rsidRDefault="79DB8ECE" w:rsidP="79DB8ECE">
      <w:pPr>
        <w:pStyle w:val="Odlomakpopisa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6C">
        <w:rPr>
          <w:rFonts w:ascii="Times New Roman" w:eastAsia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prihoda).</w:t>
      </w:r>
    </w:p>
    <w:p w14:paraId="4F75CD54" w14:textId="77777777" w:rsidR="006E10A5" w:rsidRDefault="006E10A5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00FE6" w14:textId="6BF274C0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2" w:name="_Hlk103760125"/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u svoje ime i u ime </w:t>
      </w:r>
      <w:r w:rsidR="00B62BD8" w:rsidRPr="0014602E">
        <w:rPr>
          <w:rFonts w:ascii="Symbol" w:eastAsia="Symbol" w:hAnsi="Symbol" w:cs="Symbol"/>
          <w:sz w:val="24"/>
          <w:szCs w:val="24"/>
        </w:rPr>
        <w:t>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bookmarkEnd w:id="2"/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Prijavitelja/Partnera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29161" w14:textId="77077829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14:paraId="4E3B277E" w14:textId="77777777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3"/>
    </w:p>
    <w:sectPr w:rsidR="0070722A" w:rsidRPr="0014602E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9186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9186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0EC"/>
    <w:multiLevelType w:val="hybridMultilevel"/>
    <w:tmpl w:val="631A5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0621F80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251AC0"/>
    <w:multiLevelType w:val="hybridMultilevel"/>
    <w:tmpl w:val="D22A13EC"/>
    <w:lvl w:ilvl="0" w:tplc="C0621F80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BC6111"/>
    <w:multiLevelType w:val="hybridMultilevel"/>
    <w:tmpl w:val="D90AFE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D77914"/>
    <w:multiLevelType w:val="hybridMultilevel"/>
    <w:tmpl w:val="6DF836C6"/>
    <w:lvl w:ilvl="0" w:tplc="92DC7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C0F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07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4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F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6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CA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C1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977497">
    <w:abstractNumId w:val="25"/>
  </w:num>
  <w:num w:numId="2" w16cid:durableId="1886060583">
    <w:abstractNumId w:val="26"/>
  </w:num>
  <w:num w:numId="3" w16cid:durableId="1565527518">
    <w:abstractNumId w:val="23"/>
  </w:num>
  <w:num w:numId="4" w16cid:durableId="1639414205">
    <w:abstractNumId w:val="30"/>
  </w:num>
  <w:num w:numId="5" w16cid:durableId="1914467493">
    <w:abstractNumId w:val="0"/>
  </w:num>
  <w:num w:numId="6" w16cid:durableId="1895769182">
    <w:abstractNumId w:val="8"/>
  </w:num>
  <w:num w:numId="7" w16cid:durableId="240482644">
    <w:abstractNumId w:val="17"/>
  </w:num>
  <w:num w:numId="8" w16cid:durableId="166791201">
    <w:abstractNumId w:val="1"/>
  </w:num>
  <w:num w:numId="9" w16cid:durableId="1818304444">
    <w:abstractNumId w:val="7"/>
  </w:num>
  <w:num w:numId="10" w16cid:durableId="508494253">
    <w:abstractNumId w:val="11"/>
  </w:num>
  <w:num w:numId="11" w16cid:durableId="2050839707">
    <w:abstractNumId w:val="5"/>
  </w:num>
  <w:num w:numId="12" w16cid:durableId="981546230">
    <w:abstractNumId w:val="15"/>
  </w:num>
  <w:num w:numId="13" w16cid:durableId="83302959">
    <w:abstractNumId w:val="6"/>
  </w:num>
  <w:num w:numId="14" w16cid:durableId="1950425565">
    <w:abstractNumId w:val="19"/>
  </w:num>
  <w:num w:numId="15" w16cid:durableId="1256093234">
    <w:abstractNumId w:val="27"/>
  </w:num>
  <w:num w:numId="16" w16cid:durableId="2015178871">
    <w:abstractNumId w:val="21"/>
  </w:num>
  <w:num w:numId="17" w16cid:durableId="977538464">
    <w:abstractNumId w:val="13"/>
  </w:num>
  <w:num w:numId="18" w16cid:durableId="15699939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9578110">
    <w:abstractNumId w:val="2"/>
  </w:num>
  <w:num w:numId="20" w16cid:durableId="144441810">
    <w:abstractNumId w:val="16"/>
  </w:num>
  <w:num w:numId="21" w16cid:durableId="2128692864">
    <w:abstractNumId w:val="14"/>
  </w:num>
  <w:num w:numId="22" w16cid:durableId="1736394076">
    <w:abstractNumId w:val="29"/>
  </w:num>
  <w:num w:numId="23" w16cid:durableId="1666082278">
    <w:abstractNumId w:val="9"/>
  </w:num>
  <w:num w:numId="24" w16cid:durableId="572815838">
    <w:abstractNumId w:val="20"/>
  </w:num>
  <w:num w:numId="25" w16cid:durableId="1841773951">
    <w:abstractNumId w:val="4"/>
  </w:num>
  <w:num w:numId="26" w16cid:durableId="1910847513">
    <w:abstractNumId w:val="24"/>
  </w:num>
  <w:num w:numId="27" w16cid:durableId="1878925873">
    <w:abstractNumId w:val="28"/>
  </w:num>
  <w:num w:numId="28" w16cid:durableId="1415937392">
    <w:abstractNumId w:val="10"/>
  </w:num>
  <w:num w:numId="29" w16cid:durableId="421947881">
    <w:abstractNumId w:val="3"/>
  </w:num>
  <w:num w:numId="30" w16cid:durableId="1364360562">
    <w:abstractNumId w:val="22"/>
  </w:num>
  <w:num w:numId="31" w16cid:durableId="4620404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4C1F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052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218C6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0A5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2B79"/>
    <w:rsid w:val="008445DA"/>
    <w:rsid w:val="00845F0C"/>
    <w:rsid w:val="00865999"/>
    <w:rsid w:val="00865D3D"/>
    <w:rsid w:val="00866F03"/>
    <w:rsid w:val="00870043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497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4EED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157C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0FF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D6403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186C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0866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92FF7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2384557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9DB8ECE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aliases w:val="heading 1,naslov 1,Heading 12"/>
    <w:basedOn w:val="Normal"/>
    <w:link w:val="Odlomakpopisa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character" w:customStyle="1" w:styleId="OdlomakpopisaChar">
    <w:name w:val="Odlomak popisa Char"/>
    <w:aliases w:val="heading 1 Char,naslov 1 Char,Heading 12 Char"/>
    <w:link w:val="Odlomakpopisa"/>
    <w:uiPriority w:val="34"/>
    <w:locked/>
    <w:rsid w:val="0039052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94024-4605-4E7E-A33F-72B47289D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182CC-3509-4273-9E74-16F4559D445D}">
  <ds:schemaRefs>
    <ds:schemaRef ds:uri="http://www.w3.org/XML/1998/namespace"/>
    <ds:schemaRef ds:uri="f93994b9-8838-4218-bb0b-89feb1b86a4e"/>
    <ds:schemaRef ds:uri="http://purl.org/dc/terms/"/>
    <ds:schemaRef ds:uri="http://purl.org/dc/elements/1.1/"/>
    <ds:schemaRef ds:uri="http://schemas.microsoft.com/office/2006/documentManagement/types"/>
    <ds:schemaRef ds:uri="6f7cfc71-8439-4172-a41b-811e6fd71ff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Marija Batinić Sermek</cp:lastModifiedBy>
  <cp:revision>5</cp:revision>
  <cp:lastPrinted>2019-03-20T11:15:00Z</cp:lastPrinted>
  <dcterms:created xsi:type="dcterms:W3CDTF">2024-02-06T13:01:00Z</dcterms:created>
  <dcterms:modified xsi:type="dcterms:W3CDTF">2024-02-06T13:09:00Z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