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3172F" w14:textId="2B9F9E15" w:rsidR="00B32DA3" w:rsidRPr="00905271" w:rsidRDefault="0016765B" w:rsidP="00A674C8">
      <w:pPr>
        <w:spacing w:after="480"/>
        <w:jc w:val="center"/>
        <w:rPr>
          <w:b/>
          <w:lang w:val="hr-HR"/>
        </w:rPr>
      </w:pPr>
      <w:r>
        <w:rPr>
          <w:b/>
          <w:lang w:val="hr-HR"/>
        </w:rPr>
        <w:t>Prilog 7</w:t>
      </w:r>
    </w:p>
    <w:p w14:paraId="399D4981" w14:textId="77777777" w:rsidR="00CB730C" w:rsidRPr="00905271" w:rsidRDefault="00CB730C" w:rsidP="0010014A">
      <w:pPr>
        <w:spacing w:after="480"/>
        <w:jc w:val="center"/>
        <w:rPr>
          <w:b/>
          <w:lang w:val="hr-HR"/>
        </w:rPr>
      </w:pPr>
      <w:r w:rsidRPr="00905271">
        <w:rPr>
          <w:b/>
          <w:lang w:val="hr-HR"/>
        </w:rPr>
        <w:t>KONTROLN</w:t>
      </w:r>
      <w:r w:rsidR="0010014A" w:rsidRPr="00905271">
        <w:rPr>
          <w:b/>
          <w:lang w:val="hr-HR"/>
        </w:rPr>
        <w:t>A</w:t>
      </w:r>
      <w:r w:rsidRPr="00905271">
        <w:rPr>
          <w:b/>
          <w:lang w:val="hr-HR"/>
        </w:rPr>
        <w:t xml:space="preserve"> </w:t>
      </w:r>
      <w:r w:rsidR="0010014A" w:rsidRPr="00905271">
        <w:rPr>
          <w:b/>
          <w:lang w:val="hr-HR"/>
        </w:rPr>
        <w:t>LISTA</w:t>
      </w:r>
    </w:p>
    <w:p w14:paraId="6219B520" w14:textId="77777777" w:rsidR="00CB730C" w:rsidRPr="00905271" w:rsidRDefault="00CB730C" w:rsidP="00CB730C">
      <w:pPr>
        <w:spacing w:after="480"/>
        <w:jc w:val="center"/>
        <w:rPr>
          <w:b/>
          <w:lang w:val="hr-HR"/>
        </w:rPr>
      </w:pPr>
      <w:r w:rsidRPr="00905271">
        <w:rPr>
          <w:b/>
          <w:lang w:val="hr-HR"/>
        </w:rPr>
        <w:t>ZA IDENTIFIKACIJU DRŽAVNIH POTPORA</w:t>
      </w:r>
    </w:p>
    <w:p w14:paraId="0F466F9C" w14:textId="77777777" w:rsidR="00CB730C" w:rsidRPr="00905271" w:rsidRDefault="00CB730C" w:rsidP="00CB730C">
      <w:pPr>
        <w:widowControl w:val="0"/>
        <w:jc w:val="both"/>
        <w:rPr>
          <w:b/>
          <w:bCs/>
          <w:iCs/>
          <w:u w:val="single"/>
          <w:lang w:val="hr-HR"/>
        </w:rPr>
      </w:pPr>
      <w:r w:rsidRPr="00905271">
        <w:rPr>
          <w:b/>
          <w:bCs/>
          <w:iCs/>
          <w:u w:val="single"/>
          <w:lang w:val="hr-HR"/>
        </w:rPr>
        <w:t>Uputa za popunjavanje kontrolne liste:</w:t>
      </w:r>
    </w:p>
    <w:p w14:paraId="1C346521" w14:textId="77777777" w:rsidR="00CB730C" w:rsidRPr="00905271" w:rsidRDefault="00CB730C" w:rsidP="00CB730C">
      <w:pPr>
        <w:pStyle w:val="NormalWeb"/>
        <w:jc w:val="both"/>
        <w:rPr>
          <w:lang w:val="hr-HR"/>
        </w:rPr>
      </w:pPr>
      <w:r w:rsidRPr="00905271">
        <w:rPr>
          <w:lang w:val="hr-HR"/>
        </w:rPr>
        <w:t>Radi se o državnoj potpori samo ako je odgovor na pitanja 1-</w:t>
      </w:r>
      <w:r w:rsidR="003E20EA" w:rsidRPr="00905271">
        <w:rPr>
          <w:lang w:val="hr-HR"/>
        </w:rPr>
        <w:t>6</w:t>
      </w:r>
      <w:r w:rsidRPr="00905271">
        <w:rPr>
          <w:lang w:val="hr-HR"/>
        </w:rPr>
        <w:t xml:space="preserve"> potvrdan. Ako je odgovor na bilo koje od tih pitanja negativan, financiranje nije državna potpora, te se ne primjenjuju pravila o državnim potporama.</w:t>
      </w:r>
    </w:p>
    <w:p w14:paraId="211851F8" w14:textId="77777777" w:rsidR="00CB730C" w:rsidRPr="00905271" w:rsidRDefault="00CB730C" w:rsidP="00CB730C">
      <w:pPr>
        <w:pStyle w:val="NormalWeb"/>
        <w:jc w:val="both"/>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5"/>
        <w:gridCol w:w="9505"/>
      </w:tblGrid>
      <w:tr w:rsidR="00CB730C" w:rsidRPr="00905271" w14:paraId="116617C3" w14:textId="77777777" w:rsidTr="00B7764C">
        <w:trPr>
          <w:trHeight w:val="390"/>
        </w:trPr>
        <w:tc>
          <w:tcPr>
            <w:tcW w:w="1912" w:type="pct"/>
            <w:vAlign w:val="center"/>
          </w:tcPr>
          <w:p w14:paraId="3D0D6CAA" w14:textId="77777777" w:rsidR="00CB730C" w:rsidRPr="00905271" w:rsidRDefault="003E20EA" w:rsidP="00CB730C">
            <w:pPr>
              <w:rPr>
                <w:lang w:val="hr-HR"/>
              </w:rPr>
            </w:pPr>
            <w:r w:rsidRPr="00905271">
              <w:rPr>
                <w:lang w:val="hr-HR"/>
              </w:rPr>
              <w:t>Naziv poziva/k</w:t>
            </w:r>
            <w:r w:rsidR="00CB730C" w:rsidRPr="00905271">
              <w:rPr>
                <w:lang w:val="hr-HR"/>
              </w:rPr>
              <w:t>ôd projekta</w:t>
            </w:r>
            <w:r w:rsidRPr="00905271">
              <w:rPr>
                <w:lang w:val="hr-HR"/>
              </w:rPr>
              <w:t xml:space="preserve"> (upisati primjenjivo)</w:t>
            </w:r>
          </w:p>
        </w:tc>
        <w:tc>
          <w:tcPr>
            <w:tcW w:w="3088" w:type="pct"/>
            <w:vAlign w:val="center"/>
          </w:tcPr>
          <w:p w14:paraId="470E79DE" w14:textId="77777777" w:rsidR="00CB730C" w:rsidRPr="00905271" w:rsidRDefault="00CB730C" w:rsidP="00CB730C">
            <w:pPr>
              <w:tabs>
                <w:tab w:val="left" w:pos="2355"/>
              </w:tabs>
              <w:rPr>
                <w:i/>
                <w:lang w:val="hr-HR"/>
              </w:rPr>
            </w:pPr>
          </w:p>
        </w:tc>
      </w:tr>
      <w:tr w:rsidR="00CB730C" w:rsidRPr="00905271" w14:paraId="146A209A" w14:textId="77777777" w:rsidTr="00B7764C">
        <w:trPr>
          <w:trHeight w:val="390"/>
        </w:trPr>
        <w:tc>
          <w:tcPr>
            <w:tcW w:w="1912" w:type="pct"/>
            <w:vAlign w:val="center"/>
          </w:tcPr>
          <w:p w14:paraId="14AA4CB7" w14:textId="77777777" w:rsidR="00CB730C" w:rsidRPr="00905271" w:rsidRDefault="00CB730C" w:rsidP="00CB730C">
            <w:pPr>
              <w:rPr>
                <w:lang w:val="hr-HR"/>
              </w:rPr>
            </w:pPr>
            <w:r w:rsidRPr="00905271">
              <w:rPr>
                <w:lang w:val="hr-HR"/>
              </w:rPr>
              <w:t>Naziv korisnika (ako postoji)</w:t>
            </w:r>
          </w:p>
        </w:tc>
        <w:tc>
          <w:tcPr>
            <w:tcW w:w="3088" w:type="pct"/>
            <w:vAlign w:val="center"/>
          </w:tcPr>
          <w:p w14:paraId="644DB6C9" w14:textId="77777777" w:rsidR="00CB730C" w:rsidRPr="00905271" w:rsidRDefault="00CB730C" w:rsidP="00CB730C">
            <w:pPr>
              <w:tabs>
                <w:tab w:val="left" w:pos="2355"/>
              </w:tabs>
              <w:rPr>
                <w:i/>
                <w:lang w:val="hr-HR"/>
              </w:rPr>
            </w:pPr>
          </w:p>
        </w:tc>
      </w:tr>
      <w:tr w:rsidR="00CB730C" w:rsidRPr="00905271" w14:paraId="72304841" w14:textId="77777777" w:rsidTr="00B7764C">
        <w:trPr>
          <w:trHeight w:val="390"/>
        </w:trPr>
        <w:tc>
          <w:tcPr>
            <w:tcW w:w="1912" w:type="pct"/>
            <w:vAlign w:val="center"/>
          </w:tcPr>
          <w:p w14:paraId="467176C8" w14:textId="77777777" w:rsidR="00CB730C" w:rsidRPr="00905271" w:rsidRDefault="00CB730C" w:rsidP="00180641">
            <w:pPr>
              <w:rPr>
                <w:lang w:val="hr-HR"/>
              </w:rPr>
            </w:pPr>
            <w:r w:rsidRPr="00905271">
              <w:rPr>
                <w:lang w:val="hr-HR"/>
              </w:rPr>
              <w:t xml:space="preserve">Kontrolnu listu pripremio </w:t>
            </w:r>
          </w:p>
        </w:tc>
        <w:tc>
          <w:tcPr>
            <w:tcW w:w="3088" w:type="pct"/>
            <w:vAlign w:val="center"/>
          </w:tcPr>
          <w:p w14:paraId="09E6B166" w14:textId="77777777" w:rsidR="00CB730C" w:rsidRPr="00905271" w:rsidRDefault="00CB730C" w:rsidP="00CB730C">
            <w:pPr>
              <w:tabs>
                <w:tab w:val="left" w:pos="2355"/>
              </w:tabs>
              <w:rPr>
                <w:i/>
                <w:lang w:val="hr-HR"/>
              </w:rPr>
            </w:pPr>
            <w:r w:rsidRPr="00905271">
              <w:rPr>
                <w:i/>
                <w:lang w:val="hr-HR"/>
              </w:rPr>
              <w:t>Ime, prezime</w:t>
            </w:r>
          </w:p>
        </w:tc>
      </w:tr>
    </w:tbl>
    <w:p w14:paraId="4150DA47" w14:textId="77777777" w:rsidR="00CB730C" w:rsidRPr="00905271" w:rsidRDefault="00CB730C" w:rsidP="00CB730C">
      <w:pPr>
        <w:spacing w:after="480"/>
        <w:jc w:val="center"/>
        <w:rPr>
          <w:b/>
          <w:lang w:val="hr-HR"/>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7"/>
        <w:gridCol w:w="4146"/>
        <w:gridCol w:w="689"/>
        <w:gridCol w:w="689"/>
        <w:gridCol w:w="9179"/>
      </w:tblGrid>
      <w:tr w:rsidR="00CB730C" w:rsidRPr="00905271" w14:paraId="76F8B484" w14:textId="77777777" w:rsidTr="00D00396">
        <w:trPr>
          <w:trHeight w:val="277"/>
        </w:trPr>
        <w:tc>
          <w:tcPr>
            <w:tcW w:w="223" w:type="pct"/>
            <w:vAlign w:val="center"/>
          </w:tcPr>
          <w:p w14:paraId="55D2A896" w14:textId="77777777" w:rsidR="00CB730C" w:rsidRPr="00905271" w:rsidRDefault="00CB730C" w:rsidP="00CB730C">
            <w:pPr>
              <w:jc w:val="center"/>
              <w:rPr>
                <w:b/>
                <w:lang w:val="hr-HR"/>
              </w:rPr>
            </w:pPr>
            <w:r w:rsidRPr="00905271">
              <w:rPr>
                <w:b/>
                <w:lang w:val="hr-HR"/>
              </w:rPr>
              <w:t>Br.</w:t>
            </w:r>
          </w:p>
        </w:tc>
        <w:tc>
          <w:tcPr>
            <w:tcW w:w="1347" w:type="pct"/>
            <w:vAlign w:val="center"/>
          </w:tcPr>
          <w:p w14:paraId="0D9A77AF" w14:textId="77777777" w:rsidR="00CB730C" w:rsidRPr="00905271" w:rsidRDefault="00CB730C" w:rsidP="00CB730C">
            <w:pPr>
              <w:ind w:left="-59"/>
              <w:jc w:val="center"/>
              <w:rPr>
                <w:b/>
                <w:lang w:val="hr-HR"/>
              </w:rPr>
            </w:pPr>
            <w:r w:rsidRPr="00905271">
              <w:rPr>
                <w:b/>
                <w:lang w:val="hr-HR"/>
              </w:rPr>
              <w:t>Pitanje</w:t>
            </w:r>
          </w:p>
        </w:tc>
        <w:tc>
          <w:tcPr>
            <w:tcW w:w="224" w:type="pct"/>
            <w:vAlign w:val="center"/>
          </w:tcPr>
          <w:p w14:paraId="79EE2B58" w14:textId="77777777" w:rsidR="00CB730C" w:rsidRPr="00905271" w:rsidRDefault="00CB730C" w:rsidP="00CB730C">
            <w:pPr>
              <w:jc w:val="center"/>
              <w:rPr>
                <w:b/>
                <w:lang w:val="hr-HR"/>
              </w:rPr>
            </w:pPr>
            <w:r w:rsidRPr="00905271">
              <w:rPr>
                <w:b/>
                <w:lang w:val="hr-HR"/>
              </w:rPr>
              <w:t>Da</w:t>
            </w:r>
          </w:p>
        </w:tc>
        <w:tc>
          <w:tcPr>
            <w:tcW w:w="224" w:type="pct"/>
            <w:vAlign w:val="center"/>
          </w:tcPr>
          <w:p w14:paraId="4101C6B4" w14:textId="77777777" w:rsidR="00CB730C" w:rsidRPr="00905271" w:rsidRDefault="00CB730C" w:rsidP="00CB730C">
            <w:pPr>
              <w:jc w:val="center"/>
              <w:rPr>
                <w:b/>
                <w:lang w:val="hr-HR"/>
              </w:rPr>
            </w:pPr>
            <w:r w:rsidRPr="00905271">
              <w:rPr>
                <w:b/>
                <w:lang w:val="hr-HR"/>
              </w:rPr>
              <w:t>Ne</w:t>
            </w:r>
          </w:p>
        </w:tc>
        <w:tc>
          <w:tcPr>
            <w:tcW w:w="2982" w:type="pct"/>
            <w:shd w:val="clear" w:color="auto" w:fill="auto"/>
            <w:vAlign w:val="center"/>
          </w:tcPr>
          <w:p w14:paraId="7C30CB6B" w14:textId="77777777" w:rsidR="00CB730C" w:rsidRPr="00905271" w:rsidRDefault="00CB730C" w:rsidP="00CB730C">
            <w:pPr>
              <w:jc w:val="center"/>
              <w:rPr>
                <w:b/>
                <w:lang w:val="hr-HR"/>
              </w:rPr>
            </w:pPr>
            <w:bookmarkStart w:id="0" w:name="_GoBack"/>
            <w:bookmarkEnd w:id="0"/>
            <w:r w:rsidRPr="00905271">
              <w:rPr>
                <w:b/>
                <w:lang w:val="hr-HR"/>
              </w:rPr>
              <w:t>Primjedbe</w:t>
            </w:r>
          </w:p>
        </w:tc>
      </w:tr>
      <w:tr w:rsidR="00CB730C" w:rsidRPr="00905271" w14:paraId="1DD276F9" w14:textId="77777777" w:rsidTr="00D00396">
        <w:tc>
          <w:tcPr>
            <w:tcW w:w="223" w:type="pct"/>
          </w:tcPr>
          <w:p w14:paraId="3E32147B"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22487526" w14:textId="77777777" w:rsidR="00CB730C" w:rsidRPr="00905271" w:rsidRDefault="00CB730C" w:rsidP="005B4005">
            <w:pPr>
              <w:pStyle w:val="NormalWeb"/>
              <w:jc w:val="both"/>
              <w:rPr>
                <w:i/>
                <w:lang w:val="hr-HR"/>
              </w:rPr>
            </w:pPr>
            <w:r w:rsidRPr="00905271">
              <w:rPr>
                <w:lang w:val="hr-HR"/>
              </w:rPr>
              <w:t xml:space="preserve">Da li </w:t>
            </w:r>
            <w:r w:rsidR="000A4284" w:rsidRPr="00905271">
              <w:rPr>
                <w:lang w:val="hr-HR"/>
              </w:rPr>
              <w:t>mjera uključuje sredstva dodijeljena iz državnog proračuna, proračuna jedinice lokalne samouprave (grada ili općine) ili proračuna jedinice područne samouprave (županije), fondova i pravnih osoba u vlasništvu države</w:t>
            </w:r>
            <w:r w:rsidRPr="00905271">
              <w:rPr>
                <w:lang w:val="hr-HR"/>
              </w:rPr>
              <w:t xml:space="preserve">? </w:t>
            </w:r>
          </w:p>
        </w:tc>
        <w:tc>
          <w:tcPr>
            <w:tcW w:w="224" w:type="pct"/>
          </w:tcPr>
          <w:p w14:paraId="50C2EAB3" w14:textId="08ADB4B3" w:rsidR="00CB730C" w:rsidRPr="00905271" w:rsidRDefault="00F06D3F" w:rsidP="00CB730C">
            <w:pPr>
              <w:spacing w:before="60" w:after="60"/>
              <w:jc w:val="center"/>
              <w:rPr>
                <w:lang w:val="hr-HR"/>
              </w:rPr>
            </w:pPr>
            <w:r>
              <w:rPr>
                <w:lang w:val="hr-HR"/>
              </w:rPr>
              <w:fldChar w:fldCharType="begin">
                <w:ffData>
                  <w:name w:val="Check3"/>
                  <w:enabled/>
                  <w:calcOnExit w:val="0"/>
                  <w:checkBox>
                    <w:sizeAuto/>
                    <w:default w:val="0"/>
                  </w:checkBox>
                </w:ffData>
              </w:fldChar>
            </w:r>
            <w:bookmarkStart w:id="1" w:name="Check3"/>
            <w:r>
              <w:rPr>
                <w:lang w:val="hr-HR"/>
              </w:rPr>
              <w:instrText xml:space="preserve"> FORMCHECKBOX </w:instrText>
            </w:r>
            <w:r>
              <w:rPr>
                <w:lang w:val="hr-HR"/>
              </w:rPr>
            </w:r>
            <w:r>
              <w:rPr>
                <w:lang w:val="hr-HR"/>
              </w:rPr>
              <w:fldChar w:fldCharType="end"/>
            </w:r>
            <w:bookmarkEnd w:id="1"/>
          </w:p>
        </w:tc>
        <w:tc>
          <w:tcPr>
            <w:tcW w:w="224" w:type="pct"/>
          </w:tcPr>
          <w:p w14:paraId="60B2C232" w14:textId="77777777" w:rsidR="00CB730C" w:rsidRPr="00905271" w:rsidRDefault="00CB730C" w:rsidP="00CB730C">
            <w:pPr>
              <w:spacing w:before="60" w:after="60"/>
              <w:jc w:val="center"/>
              <w:rPr>
                <w:lang w:val="hr-HR"/>
              </w:rPr>
            </w:pPr>
            <w:r w:rsidRPr="00905271">
              <w:rPr>
                <w:lang w:val="hr-HR"/>
              </w:rPr>
              <w:fldChar w:fldCharType="begin">
                <w:ffData>
                  <w:name w:val="Check4"/>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44D0EAF4" w14:textId="77777777" w:rsidR="00CB730C" w:rsidRPr="00905271" w:rsidRDefault="005B4005" w:rsidP="001854E8">
            <w:pPr>
              <w:spacing w:before="60" w:after="60"/>
              <w:jc w:val="both"/>
              <w:rPr>
                <w:i/>
                <w:lang w:val="hr-HR"/>
              </w:rPr>
            </w:pPr>
            <w:r w:rsidRPr="00905271">
              <w:rPr>
                <w:i/>
                <w:lang w:val="hr-HR"/>
              </w:rPr>
              <w:t>O</w:t>
            </w:r>
            <w:r w:rsidR="00CB730C" w:rsidRPr="00905271">
              <w:rPr>
                <w:i/>
                <w:lang w:val="hr-HR"/>
              </w:rPr>
              <w:t>dgovor</w:t>
            </w:r>
            <w:r w:rsidRPr="00905271">
              <w:rPr>
                <w:i/>
                <w:lang w:val="hr-HR"/>
              </w:rPr>
              <w:t xml:space="preserve"> na ovo pitanje</w:t>
            </w:r>
            <w:r w:rsidR="00CB730C" w:rsidRPr="00905271">
              <w:rPr>
                <w:i/>
                <w:lang w:val="hr-HR"/>
              </w:rPr>
              <w:t xml:space="preserve"> je obično “da”. </w:t>
            </w:r>
            <w:r w:rsidR="00E04943" w:rsidRPr="00905271">
              <w:rPr>
                <w:i/>
                <w:lang w:val="hr-HR"/>
              </w:rPr>
              <w:t xml:space="preserve">Pored izravnih proračunskih izdataka, državnom potporom se smatra i manji, odnosno neostvareni prihod države zbog neplaćenog poreza, doprinosa ili drugog nepodmirenog dugovanja odnosno neizvršene financijske obveze prema državi, prodaja zemljišta odnosno nekretnina ispod tržišne cijene i bez provedenog natječaja. </w:t>
            </w:r>
            <w:r w:rsidR="00CB730C" w:rsidRPr="00905271">
              <w:rPr>
                <w:i/>
                <w:lang w:val="hr-HR"/>
              </w:rPr>
              <w:t>Državni izvori uključuju bespovratna sredstva, porezne olakšice, zajmove, jamstva, usluge, pozajmljivanje osoblja itd.</w:t>
            </w:r>
            <w:r w:rsidR="00940E7D" w:rsidRPr="00905271">
              <w:rPr>
                <w:i/>
                <w:lang w:val="hr-HR"/>
              </w:rPr>
              <w:t>, i</w:t>
            </w:r>
            <w:r w:rsidR="00CB730C" w:rsidRPr="00905271">
              <w:rPr>
                <w:i/>
                <w:lang w:val="hr-HR"/>
              </w:rPr>
              <w:t xml:space="preserve"> druga sredstva</w:t>
            </w:r>
            <w:r w:rsidR="001854E8" w:rsidRPr="00905271">
              <w:rPr>
                <w:i/>
                <w:lang w:val="hr-HR"/>
              </w:rPr>
              <w:t xml:space="preserve"> odnosno sredstva javnih poduzeća odnosno trgovačkih društava u privremenom ili trajnom državnom vlasništvu ili čak i sredstva privatnih poduzetnika  nad kojima država ima </w:t>
            </w:r>
            <w:r w:rsidR="00CB730C" w:rsidRPr="00905271">
              <w:rPr>
                <w:i/>
                <w:lang w:val="hr-HR"/>
              </w:rPr>
              <w:t xml:space="preserve"> kontrol</w:t>
            </w:r>
            <w:r w:rsidR="001854E8" w:rsidRPr="00905271">
              <w:rPr>
                <w:i/>
                <w:lang w:val="hr-HR"/>
              </w:rPr>
              <w:t>u ili ako predstavnici javne vlasti imaju odlučujuću ulogu u upravljanju tim sredstvima</w:t>
            </w:r>
            <w:r w:rsidR="00DE14E8" w:rsidRPr="00905271">
              <w:rPr>
                <w:i/>
                <w:lang w:val="hr-HR"/>
              </w:rPr>
              <w:t xml:space="preserve"> (u tom slučaju mjera se smatra „</w:t>
            </w:r>
            <w:proofErr w:type="spellStart"/>
            <w:r w:rsidR="00DE14E8" w:rsidRPr="00905271">
              <w:rPr>
                <w:i/>
                <w:lang w:val="hr-HR"/>
              </w:rPr>
              <w:t>pripisivom</w:t>
            </w:r>
            <w:proofErr w:type="spellEnd"/>
            <w:r w:rsidR="00DE14E8" w:rsidRPr="00905271">
              <w:rPr>
                <w:i/>
                <w:lang w:val="hr-HR"/>
              </w:rPr>
              <w:t>“ državi)</w:t>
            </w:r>
            <w:r w:rsidRPr="00905271">
              <w:rPr>
                <w:i/>
                <w:lang w:val="hr-HR"/>
              </w:rPr>
              <w:t>. N</w:t>
            </w:r>
            <w:r w:rsidR="00CB730C" w:rsidRPr="00905271">
              <w:rPr>
                <w:i/>
                <w:lang w:val="hr-HR"/>
              </w:rPr>
              <w:t>pr. financiranje iz</w:t>
            </w:r>
            <w:r w:rsidR="001854E8" w:rsidRPr="00905271">
              <w:rPr>
                <w:i/>
                <w:lang w:val="hr-HR"/>
              </w:rPr>
              <w:t xml:space="preserve"> državne</w:t>
            </w:r>
            <w:r w:rsidR="00CB730C" w:rsidRPr="00905271">
              <w:rPr>
                <w:i/>
                <w:lang w:val="hr-HR"/>
              </w:rPr>
              <w:t xml:space="preserve"> lutrije također se smatra analognim državnim izvor</w:t>
            </w:r>
            <w:r w:rsidRPr="00905271">
              <w:rPr>
                <w:i/>
                <w:lang w:val="hr-HR"/>
              </w:rPr>
              <w:t>om</w:t>
            </w:r>
            <w:r w:rsidR="001854E8" w:rsidRPr="00905271">
              <w:rPr>
                <w:i/>
                <w:lang w:val="hr-HR"/>
              </w:rPr>
              <w:t xml:space="preserve"> </w:t>
            </w:r>
            <w:r w:rsidR="001854E8" w:rsidRPr="00905271">
              <w:rPr>
                <w:i/>
                <w:lang w:val="hr-HR"/>
              </w:rPr>
              <w:lastRenderedPageBreak/>
              <w:t>ili razvojne, odnosno središnje banke</w:t>
            </w:r>
            <w:r w:rsidR="00CB730C" w:rsidRPr="00905271">
              <w:rPr>
                <w:i/>
                <w:lang w:val="hr-HR"/>
              </w:rPr>
              <w:t xml:space="preserve">. </w:t>
            </w:r>
            <w:r w:rsidRPr="00905271">
              <w:rPr>
                <w:i/>
                <w:lang w:val="hr-HR"/>
              </w:rPr>
              <w:t xml:space="preserve">Također </w:t>
            </w:r>
            <w:r w:rsidR="00CB730C" w:rsidRPr="00905271">
              <w:rPr>
                <w:i/>
                <w:lang w:val="hr-HR"/>
              </w:rPr>
              <w:t xml:space="preserve">uključuje </w:t>
            </w:r>
            <w:r w:rsidR="0026043A" w:rsidRPr="00905271">
              <w:rPr>
                <w:i/>
                <w:lang w:val="hr-HR"/>
              </w:rPr>
              <w:t xml:space="preserve">sredstva dodijeljena iz </w:t>
            </w:r>
            <w:r w:rsidR="00E96F19" w:rsidRPr="00905271">
              <w:rPr>
                <w:i/>
                <w:lang w:val="hr-HR"/>
              </w:rPr>
              <w:t>ESI</w:t>
            </w:r>
            <w:r w:rsidR="00CB730C" w:rsidRPr="00905271">
              <w:rPr>
                <w:i/>
                <w:lang w:val="hr-HR"/>
              </w:rPr>
              <w:t xml:space="preserve"> fondov</w:t>
            </w:r>
            <w:r w:rsidR="0026043A" w:rsidRPr="00905271">
              <w:rPr>
                <w:i/>
                <w:lang w:val="hr-HR"/>
              </w:rPr>
              <w:t>a</w:t>
            </w:r>
            <w:r w:rsidR="00CB730C" w:rsidRPr="00905271">
              <w:rPr>
                <w:i/>
                <w:lang w:val="hr-HR"/>
              </w:rPr>
              <w:t xml:space="preserve"> jer država ima izravnu kontrolu nad</w:t>
            </w:r>
            <w:r w:rsidR="001854E8" w:rsidRPr="00905271">
              <w:rPr>
                <w:i/>
                <w:lang w:val="hr-HR"/>
              </w:rPr>
              <w:t xml:space="preserve"> dodjelom tih sredstava krajnjim korisnicima.</w:t>
            </w:r>
            <w:r w:rsidR="00E04943" w:rsidRPr="00905271">
              <w:rPr>
                <w:lang w:val="hr-HR"/>
              </w:rPr>
              <w:t xml:space="preserve"> </w:t>
            </w:r>
          </w:p>
        </w:tc>
      </w:tr>
      <w:tr w:rsidR="00CB730C" w:rsidRPr="00905271" w14:paraId="38BF99BB" w14:textId="77777777" w:rsidTr="00D00396">
        <w:tc>
          <w:tcPr>
            <w:tcW w:w="223" w:type="pct"/>
          </w:tcPr>
          <w:p w14:paraId="2E2AEA40"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3F697124" w14:textId="77777777" w:rsidR="00CB730C" w:rsidRPr="00905271" w:rsidRDefault="00297682" w:rsidP="00297682">
            <w:pPr>
              <w:pStyle w:val="NormalWeb"/>
              <w:jc w:val="both"/>
              <w:rPr>
                <w:i/>
                <w:lang w:val="hr-HR"/>
              </w:rPr>
            </w:pPr>
            <w:r w:rsidRPr="00905271">
              <w:rPr>
                <w:lang w:val="hr-HR"/>
              </w:rPr>
              <w:t>Da li mjera d</w:t>
            </w:r>
            <w:r w:rsidR="00CB730C" w:rsidRPr="00905271">
              <w:rPr>
                <w:lang w:val="hr-HR"/>
              </w:rPr>
              <w:t>ovodi do prednosti</w:t>
            </w:r>
            <w:r w:rsidRPr="00905271">
              <w:rPr>
                <w:lang w:val="hr-HR"/>
              </w:rPr>
              <w:t xml:space="preserve"> na tržištu</w:t>
            </w:r>
            <w:r w:rsidR="00CB730C" w:rsidRPr="00905271">
              <w:rPr>
                <w:lang w:val="hr-HR"/>
              </w:rPr>
              <w:t>?</w:t>
            </w:r>
            <w:r w:rsidR="00CB730C" w:rsidRPr="00905271">
              <w:rPr>
                <w:rFonts w:eastAsia="Arial Unicode MS"/>
                <w:lang w:val="hr-HR"/>
              </w:rPr>
              <w:t xml:space="preserve"> </w:t>
            </w:r>
          </w:p>
        </w:tc>
        <w:tc>
          <w:tcPr>
            <w:tcW w:w="224" w:type="pct"/>
          </w:tcPr>
          <w:p w14:paraId="4B264E64" w14:textId="77777777" w:rsidR="00CB730C" w:rsidRPr="00905271" w:rsidRDefault="00CB730C" w:rsidP="00CB730C">
            <w:pPr>
              <w:spacing w:before="60" w:after="60"/>
              <w:jc w:val="center"/>
              <w:rPr>
                <w:lang w:val="hr-HR"/>
              </w:rPr>
            </w:pPr>
            <w:r w:rsidRPr="00905271">
              <w:rPr>
                <w:lang w:val="hr-HR"/>
              </w:rPr>
              <w:fldChar w:fldCharType="begin">
                <w:ffData>
                  <w:name w:val="Check5"/>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179A23C7" w14:textId="77777777" w:rsidR="00CB730C" w:rsidRPr="00905271" w:rsidRDefault="00CB730C" w:rsidP="00CB730C">
            <w:pPr>
              <w:spacing w:before="60" w:after="60"/>
              <w:jc w:val="center"/>
              <w:rPr>
                <w:lang w:val="hr-HR"/>
              </w:rPr>
            </w:pPr>
            <w:r w:rsidRPr="00905271">
              <w:rPr>
                <w:lang w:val="hr-HR"/>
              </w:rPr>
              <w:fldChar w:fldCharType="begin">
                <w:ffData>
                  <w:name w:val="Check6"/>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0F5B4DC8" w14:textId="77777777" w:rsidR="00311A64" w:rsidRPr="00905271" w:rsidRDefault="00CB730C" w:rsidP="00180641">
            <w:pPr>
              <w:spacing w:before="60" w:after="60"/>
              <w:jc w:val="both"/>
              <w:rPr>
                <w:i/>
                <w:lang w:val="hr-HR"/>
              </w:rPr>
            </w:pPr>
            <w:r w:rsidRPr="00905271">
              <w:rPr>
                <w:i/>
                <w:lang w:val="hr-HR"/>
              </w:rPr>
              <w:t>Pravila o državnim potporama u prvom se redu bave učinkom na tržišno natjecanje i trgovinu, a ne oblikom mjere ili namjerom. Stoga je važno utvrditi učinak potpore na korisnika (tj. daje li mu prednost</w:t>
            </w:r>
            <w:r w:rsidR="00E36CF2" w:rsidRPr="00905271">
              <w:rPr>
                <w:i/>
                <w:lang w:val="hr-HR"/>
              </w:rPr>
              <w:t xml:space="preserve"> na tržištu</w:t>
            </w:r>
            <w:r w:rsidRPr="00905271">
              <w:rPr>
                <w:i/>
                <w:lang w:val="hr-HR"/>
              </w:rPr>
              <w:t xml:space="preserve">). </w:t>
            </w:r>
            <w:r w:rsidR="00311A64" w:rsidRPr="00905271">
              <w:rPr>
                <w:i/>
                <w:lang w:val="hr-HR"/>
              </w:rPr>
              <w:t>Prednost na tržištu se ostvaruje činjenicom da je korisnik potpore primio sredstva koja ne bi mogao ostvariti u svom redovnom poslovanju. Pored očitih državnih potpora kao što su subvencije, oslobađanje od plaćanja poreza, državna jamstva, postoje i ostale državne potpore koje su manje očite, a također osiguravaju ekonomsku prednost, a to su primjerice: kupnja/iznajmljivanje zemljišta u državnom vlasništvu poduzetniku po povoljnijoj cijeni od tržišne, prodaja zemljišta poduzetnika državi po cijeni većoj od tržišne, omogućavanje pristupa javnoj infrastrukturi bez plaćanja doprinosa za istu, dokapitalizacija poduzetnika od strane države putem takozvanog rizičnog kapitala pod povoljnijim uvjetima nego što bi to učinio privatni investitor</w:t>
            </w:r>
            <w:r w:rsidR="00291DCD" w:rsidRPr="00905271">
              <w:rPr>
                <w:i/>
                <w:lang w:val="hr-HR"/>
              </w:rPr>
              <w:t>.</w:t>
            </w:r>
            <w:r w:rsidR="00311A64" w:rsidRPr="00905271">
              <w:rPr>
                <w:i/>
                <w:lang w:val="hr-HR"/>
              </w:rPr>
              <w:t xml:space="preserve"> </w:t>
            </w:r>
          </w:p>
          <w:p w14:paraId="3CC3A5E2" w14:textId="13DBCCEF" w:rsidR="00CB730C" w:rsidRPr="00905271" w:rsidRDefault="00CB730C" w:rsidP="00605589">
            <w:pPr>
              <w:spacing w:before="60" w:after="60"/>
              <w:jc w:val="both"/>
              <w:rPr>
                <w:i/>
                <w:lang w:val="hr-HR"/>
              </w:rPr>
            </w:pPr>
            <w:r w:rsidRPr="00905271">
              <w:rPr>
                <w:i/>
                <w:lang w:val="hr-HR"/>
              </w:rPr>
              <w:t xml:space="preserve">Kada se potpora daje putem posredničkih tijela, važno je i utvrditi da li i ona dobivaju prednost </w:t>
            </w:r>
            <w:r w:rsidR="001854E8" w:rsidRPr="00905271">
              <w:rPr>
                <w:i/>
                <w:lang w:val="hr-HR"/>
              </w:rPr>
              <w:t xml:space="preserve">ili se putem tih tijela prednost daje krajnjim korisnicima, </w:t>
            </w:r>
            <w:r w:rsidRPr="00905271">
              <w:rPr>
                <w:i/>
                <w:lang w:val="hr-HR"/>
              </w:rPr>
              <w:t xml:space="preserve">dok </w:t>
            </w:r>
            <w:r w:rsidR="001854E8" w:rsidRPr="00905271">
              <w:rPr>
                <w:i/>
                <w:lang w:val="hr-HR"/>
              </w:rPr>
              <w:t xml:space="preserve">oni isključivo posreduju u takvim aranžmanima i ne </w:t>
            </w:r>
            <w:r w:rsidR="00F41DAA" w:rsidRPr="00905271">
              <w:rPr>
                <w:i/>
                <w:lang w:val="hr-HR"/>
              </w:rPr>
              <w:t xml:space="preserve">dodjeljuju im se </w:t>
            </w:r>
            <w:r w:rsidRPr="00905271">
              <w:rPr>
                <w:i/>
                <w:lang w:val="hr-HR"/>
              </w:rPr>
              <w:t>potpora</w:t>
            </w:r>
            <w:r w:rsidR="00F41DAA" w:rsidRPr="00905271">
              <w:rPr>
                <w:i/>
                <w:lang w:val="hr-HR"/>
              </w:rPr>
              <w:t>, već obavlja transfer</w:t>
            </w:r>
            <w:r w:rsidRPr="00905271">
              <w:rPr>
                <w:i/>
                <w:lang w:val="hr-HR"/>
              </w:rPr>
              <w:t xml:space="preserve"> </w:t>
            </w:r>
            <w:r w:rsidR="00F41DAA" w:rsidRPr="00905271">
              <w:rPr>
                <w:i/>
                <w:lang w:val="hr-HR"/>
              </w:rPr>
              <w:t>– prijenos putem njih</w:t>
            </w:r>
            <w:r w:rsidR="00DE14E8" w:rsidRPr="00905271">
              <w:rPr>
                <w:i/>
                <w:lang w:val="hr-HR"/>
              </w:rPr>
              <w:t xml:space="preserve"> krajnjim korisnicima potpora</w:t>
            </w:r>
            <w:r w:rsidR="00F41DAA" w:rsidRPr="00905271">
              <w:rPr>
                <w:i/>
                <w:lang w:val="hr-HR"/>
              </w:rPr>
              <w:t>.</w:t>
            </w:r>
            <w:r w:rsidR="00605589">
              <w:rPr>
                <w:i/>
                <w:lang w:val="hr-HR"/>
              </w:rPr>
              <w:t xml:space="preserve"> </w:t>
            </w:r>
            <w:r w:rsidR="00F41DAA" w:rsidRPr="00905271">
              <w:rPr>
                <w:i/>
                <w:lang w:val="hr-HR"/>
              </w:rPr>
              <w:t xml:space="preserve">Prednost ne postoji ni u slučaju kada se država na tržištu ponaša kao svaki drugi subjekt u tržišnom gospodarstvu (mora biti ispunjen test subjekta u tržišnom gospodarstvu – MEO test) ili kada se radi o financiranju usluga od općeg gospodarskog interesa kod kojih su ispunjeni kriteriji iz presude u slučaju </w:t>
            </w:r>
            <w:proofErr w:type="spellStart"/>
            <w:r w:rsidR="00F41DAA" w:rsidRPr="00905271">
              <w:rPr>
                <w:i/>
                <w:lang w:val="hr-HR"/>
              </w:rPr>
              <w:t>Altmark</w:t>
            </w:r>
            <w:proofErr w:type="spellEnd"/>
            <w:r w:rsidR="00F41DAA" w:rsidRPr="00905271">
              <w:rPr>
                <w:i/>
                <w:lang w:val="hr-HR"/>
              </w:rPr>
              <w:t xml:space="preserve">. </w:t>
            </w:r>
          </w:p>
        </w:tc>
      </w:tr>
      <w:tr w:rsidR="00CB730C" w:rsidRPr="00905271" w14:paraId="278EF881" w14:textId="77777777" w:rsidTr="00D00396">
        <w:tc>
          <w:tcPr>
            <w:tcW w:w="223" w:type="pct"/>
          </w:tcPr>
          <w:p w14:paraId="2979717A"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3303274B" w14:textId="77777777" w:rsidR="00CB730C" w:rsidRPr="00905271" w:rsidRDefault="00CB730C" w:rsidP="009C5561">
            <w:pPr>
              <w:pStyle w:val="NormalWeb"/>
              <w:jc w:val="both"/>
              <w:rPr>
                <w:rFonts w:eastAsia="Arial Unicode MS"/>
                <w:i/>
                <w:vanish/>
                <w:color w:val="808080"/>
                <w:lang w:val="hr-HR"/>
              </w:rPr>
            </w:pPr>
            <w:r w:rsidRPr="00905271">
              <w:rPr>
                <w:lang w:val="hr-HR"/>
              </w:rPr>
              <w:t xml:space="preserve">Je li </w:t>
            </w:r>
            <w:r w:rsidR="009C5561" w:rsidRPr="00905271">
              <w:rPr>
                <w:lang w:val="hr-HR"/>
              </w:rPr>
              <w:t xml:space="preserve">mjera </w:t>
            </w:r>
            <w:r w:rsidRPr="00905271">
              <w:rPr>
                <w:lang w:val="hr-HR"/>
              </w:rPr>
              <w:t>selektivna, dajući prvenstvo određenim poduze</w:t>
            </w:r>
            <w:r w:rsidR="00291DCD" w:rsidRPr="00905271">
              <w:rPr>
                <w:lang w:val="hr-HR"/>
              </w:rPr>
              <w:t>ć</w:t>
            </w:r>
            <w:r w:rsidRPr="00905271">
              <w:rPr>
                <w:lang w:val="hr-HR"/>
              </w:rPr>
              <w:t>ima</w:t>
            </w:r>
            <w:r w:rsidR="009C5561" w:rsidRPr="00905271">
              <w:rPr>
                <w:lang w:val="hr-HR"/>
              </w:rPr>
              <w:t xml:space="preserve"> (</w:t>
            </w:r>
            <w:proofErr w:type="spellStart"/>
            <w:r w:rsidR="009C5561" w:rsidRPr="00905271">
              <w:rPr>
                <w:lang w:val="hr-HR"/>
              </w:rPr>
              <w:t>eng</w:t>
            </w:r>
            <w:proofErr w:type="spellEnd"/>
            <w:r w:rsidR="009C5561" w:rsidRPr="00905271">
              <w:rPr>
                <w:lang w:val="hr-HR"/>
              </w:rPr>
              <w:t xml:space="preserve">. </w:t>
            </w:r>
            <w:proofErr w:type="spellStart"/>
            <w:r w:rsidR="009C5561" w:rsidRPr="00905271">
              <w:rPr>
                <w:i/>
                <w:lang w:val="hr-HR"/>
              </w:rPr>
              <w:t>undertaking</w:t>
            </w:r>
            <w:proofErr w:type="spellEnd"/>
            <w:r w:rsidR="009C5561" w:rsidRPr="00905271">
              <w:rPr>
                <w:lang w:val="hr-HR"/>
              </w:rPr>
              <w:t xml:space="preserve">) </w:t>
            </w:r>
            <w:r w:rsidRPr="00905271">
              <w:rPr>
                <w:lang w:val="hr-HR"/>
              </w:rPr>
              <w:t>?</w:t>
            </w:r>
          </w:p>
        </w:tc>
        <w:tc>
          <w:tcPr>
            <w:tcW w:w="224" w:type="pct"/>
          </w:tcPr>
          <w:p w14:paraId="1B073726" w14:textId="77777777" w:rsidR="00CB730C" w:rsidRPr="00905271" w:rsidRDefault="00CB730C" w:rsidP="00CB730C">
            <w:pPr>
              <w:spacing w:before="60" w:after="60"/>
              <w:jc w:val="center"/>
              <w:rPr>
                <w:lang w:val="hr-HR"/>
              </w:rPr>
            </w:pPr>
            <w:r w:rsidRPr="00905271">
              <w:rPr>
                <w:lang w:val="hr-HR"/>
              </w:rPr>
              <w:fldChar w:fldCharType="begin">
                <w:ffData>
                  <w:name w:val="Check7"/>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7EDB6A8B" w14:textId="77777777" w:rsidR="00CB730C" w:rsidRPr="00905271" w:rsidRDefault="00CB730C" w:rsidP="00CB730C">
            <w:pPr>
              <w:spacing w:before="60" w:after="60"/>
              <w:jc w:val="center"/>
              <w:rPr>
                <w:lang w:val="hr-HR"/>
              </w:rPr>
            </w:pPr>
            <w:r w:rsidRPr="00905271">
              <w:rPr>
                <w:lang w:val="hr-HR"/>
              </w:rPr>
              <w:fldChar w:fldCharType="begin">
                <w:ffData>
                  <w:name w:val="Check8"/>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42934A1C" w14:textId="77777777" w:rsidR="00CB730C" w:rsidRPr="00905271" w:rsidRDefault="00CB730C" w:rsidP="00F41DAA">
            <w:pPr>
              <w:spacing w:before="60" w:after="60"/>
              <w:jc w:val="both"/>
              <w:rPr>
                <w:i/>
                <w:lang w:val="hr-HR"/>
              </w:rPr>
            </w:pPr>
            <w:r w:rsidRPr="00905271">
              <w:rPr>
                <w:i/>
                <w:lang w:val="hr-HR"/>
              </w:rPr>
              <w:t xml:space="preserve">Mjere mogu biti 'selektivne' ili 'opće'. Stoga, ako se mjera </w:t>
            </w:r>
            <w:r w:rsidR="00F41DAA" w:rsidRPr="00905271">
              <w:rPr>
                <w:i/>
                <w:lang w:val="hr-HR"/>
              </w:rPr>
              <w:t xml:space="preserve">odnosi </w:t>
            </w:r>
            <w:r w:rsidRPr="00905271">
              <w:rPr>
                <w:i/>
                <w:lang w:val="hr-HR"/>
              </w:rPr>
              <w:t xml:space="preserve"> samo na </w:t>
            </w:r>
            <w:r w:rsidR="0026043A" w:rsidRPr="00905271">
              <w:rPr>
                <w:i/>
                <w:lang w:val="hr-HR"/>
              </w:rPr>
              <w:t xml:space="preserve">određenog </w:t>
            </w:r>
            <w:proofErr w:type="spellStart"/>
            <w:r w:rsidR="0026043A" w:rsidRPr="00905271">
              <w:rPr>
                <w:i/>
                <w:lang w:val="hr-HR"/>
              </w:rPr>
              <w:t>poduzetnika</w:t>
            </w:r>
            <w:r w:rsidR="00F41DAA" w:rsidRPr="00905271">
              <w:rPr>
                <w:i/>
                <w:lang w:val="hr-HR"/>
              </w:rPr>
              <w:t>,ili</w:t>
            </w:r>
            <w:proofErr w:type="spellEnd"/>
            <w:r w:rsidR="00F41DAA" w:rsidRPr="00905271">
              <w:rPr>
                <w:i/>
                <w:lang w:val="hr-HR"/>
              </w:rPr>
              <w:t xml:space="preserve"> </w:t>
            </w:r>
            <w:r w:rsidR="00E36CF2" w:rsidRPr="00905271">
              <w:rPr>
                <w:i/>
                <w:lang w:val="hr-HR"/>
              </w:rPr>
              <w:t xml:space="preserve"> određenu</w:t>
            </w:r>
            <w:r w:rsidR="0026043A" w:rsidRPr="00905271">
              <w:rPr>
                <w:i/>
                <w:lang w:val="hr-HR"/>
              </w:rPr>
              <w:t xml:space="preserve"> </w:t>
            </w:r>
            <w:r w:rsidRPr="00905271">
              <w:rPr>
                <w:i/>
                <w:lang w:val="hr-HR"/>
              </w:rPr>
              <w:t xml:space="preserve">skupinu </w:t>
            </w:r>
            <w:r w:rsidR="00F41DAA" w:rsidRPr="00905271">
              <w:rPr>
                <w:i/>
                <w:lang w:val="hr-HR"/>
              </w:rPr>
              <w:t>poduzetnika</w:t>
            </w:r>
            <w:r w:rsidRPr="00905271">
              <w:rPr>
                <w:i/>
                <w:lang w:val="hr-HR"/>
              </w:rPr>
              <w:t>, sektor ili geografsku regiju,</w:t>
            </w:r>
            <w:r w:rsidR="00E36CF2" w:rsidRPr="00905271">
              <w:rPr>
                <w:i/>
                <w:lang w:val="hr-HR"/>
              </w:rPr>
              <w:t xml:space="preserve"> </w:t>
            </w:r>
            <w:r w:rsidR="0026043A" w:rsidRPr="00905271">
              <w:rPr>
                <w:i/>
                <w:lang w:val="hr-HR"/>
              </w:rPr>
              <w:t>pa je</w:t>
            </w:r>
            <w:r w:rsidR="00E36CF2" w:rsidRPr="00905271">
              <w:rPr>
                <w:i/>
                <w:lang w:val="hr-HR"/>
              </w:rPr>
              <w:t xml:space="preserve"> isti</w:t>
            </w:r>
            <w:r w:rsidR="0026043A" w:rsidRPr="00905271">
              <w:rPr>
                <w:i/>
                <w:lang w:val="hr-HR"/>
              </w:rPr>
              <w:t xml:space="preserve"> time doveden u povoljniji tržišni položaj u odnosu na konkurenciju</w:t>
            </w:r>
            <w:r w:rsidR="00F41DAA" w:rsidRPr="00905271">
              <w:rPr>
                <w:i/>
                <w:lang w:val="hr-HR"/>
              </w:rPr>
              <w:t xml:space="preserve"> iz drugih država članica Europske unije</w:t>
            </w:r>
            <w:r w:rsidR="003E4B65" w:rsidRPr="00905271">
              <w:rPr>
                <w:i/>
                <w:lang w:val="hr-HR"/>
              </w:rPr>
              <w:t>,</w:t>
            </w:r>
            <w:r w:rsidRPr="00905271">
              <w:rPr>
                <w:i/>
                <w:lang w:val="hr-HR"/>
              </w:rPr>
              <w:t xml:space="preserve"> </w:t>
            </w:r>
            <w:r w:rsidR="003E4B65" w:rsidRPr="00905271">
              <w:rPr>
                <w:i/>
                <w:lang w:val="hr-HR"/>
              </w:rPr>
              <w:t xml:space="preserve">mjera će se </w:t>
            </w:r>
            <w:r w:rsidRPr="00905271">
              <w:rPr>
                <w:i/>
                <w:lang w:val="hr-HR"/>
              </w:rPr>
              <w:t xml:space="preserve">obično smatrati selektivnom. </w:t>
            </w:r>
            <w:r w:rsidR="00291DCD" w:rsidRPr="00905271">
              <w:rPr>
                <w:i/>
                <w:lang w:val="hr-HR"/>
              </w:rPr>
              <w:t xml:space="preserve">O selektivnosti se može raditi i kada postoji određeno diskrecijsko pravo odlučivanja prilikom dodjele potpore od strane davatelja potpore. </w:t>
            </w:r>
            <w:r w:rsidRPr="00905271">
              <w:rPr>
                <w:i/>
                <w:lang w:val="hr-HR"/>
              </w:rPr>
              <w:t>Opće su mjere one koje se odnose na sva poduzeća u čitavom gospodarstvu države (npr. nacionalne porezne ili fiskalne mjere). Pravila o državnim potporama ne primjenjuju se na takve opće mjere. S obzirom da su sustavi potpora u određenoj regiji najčešće usmjereni na poduzeća smještena u toj regiji, oni su gotovo uvijek selektivni, te je odgovor na ovo pitanje gotovo uvijek 'da'.</w:t>
            </w:r>
          </w:p>
        </w:tc>
      </w:tr>
      <w:tr w:rsidR="00CB730C" w:rsidRPr="00905271" w14:paraId="5D2EBB33" w14:textId="77777777" w:rsidTr="00D00396">
        <w:tc>
          <w:tcPr>
            <w:tcW w:w="223" w:type="pct"/>
          </w:tcPr>
          <w:p w14:paraId="32E028A8"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5C848CEC" w14:textId="77777777" w:rsidR="00CB730C" w:rsidRPr="00905271" w:rsidRDefault="000866AC" w:rsidP="000866AC">
            <w:pPr>
              <w:pStyle w:val="NormalWeb"/>
              <w:rPr>
                <w:rFonts w:eastAsia="Arial Unicode MS"/>
                <w:i/>
                <w:vanish/>
                <w:color w:val="808080"/>
                <w:lang w:val="hr-HR"/>
              </w:rPr>
            </w:pPr>
            <w:r w:rsidRPr="00905271">
              <w:rPr>
                <w:lang w:val="hr-HR"/>
              </w:rPr>
              <w:t>Utječe li</w:t>
            </w:r>
            <w:r w:rsidR="00CB730C" w:rsidRPr="00905271">
              <w:rPr>
                <w:lang w:val="hr-HR"/>
              </w:rPr>
              <w:t xml:space="preserve"> </w:t>
            </w:r>
            <w:r w:rsidRPr="00905271">
              <w:rPr>
                <w:lang w:val="hr-HR"/>
              </w:rPr>
              <w:t>mjera</w:t>
            </w:r>
            <w:r w:rsidR="00E36CF2" w:rsidRPr="00905271">
              <w:rPr>
                <w:lang w:val="hr-HR"/>
              </w:rPr>
              <w:t xml:space="preserve"> (odnosno, jeli bi</w:t>
            </w:r>
            <w:r w:rsidRPr="00905271">
              <w:rPr>
                <w:lang w:val="hr-HR"/>
              </w:rPr>
              <w:t xml:space="preserve"> mogla utjecati) na trgovinu </w:t>
            </w:r>
            <w:r w:rsidR="00CB730C" w:rsidRPr="00905271">
              <w:rPr>
                <w:lang w:val="hr-HR"/>
              </w:rPr>
              <w:t>među državama članicama?</w:t>
            </w:r>
          </w:p>
        </w:tc>
        <w:tc>
          <w:tcPr>
            <w:tcW w:w="224" w:type="pct"/>
          </w:tcPr>
          <w:p w14:paraId="641F160B" w14:textId="77777777" w:rsidR="00CB730C" w:rsidRPr="00905271" w:rsidRDefault="00CB730C" w:rsidP="00CB730C">
            <w:pPr>
              <w:spacing w:before="60" w:after="60"/>
              <w:jc w:val="center"/>
              <w:rPr>
                <w:lang w:val="hr-HR"/>
              </w:rPr>
            </w:pPr>
            <w:r w:rsidRPr="00905271">
              <w:rPr>
                <w:lang w:val="hr-HR"/>
              </w:rPr>
              <w:fldChar w:fldCharType="begin">
                <w:ffData>
                  <w:name w:val="Check7"/>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179D9BCF" w14:textId="77777777" w:rsidR="00CB730C" w:rsidRPr="00905271" w:rsidRDefault="00CB730C" w:rsidP="00CB730C">
            <w:pPr>
              <w:spacing w:before="60" w:after="60"/>
              <w:jc w:val="center"/>
              <w:rPr>
                <w:lang w:val="hr-HR"/>
              </w:rPr>
            </w:pPr>
            <w:r w:rsidRPr="00905271">
              <w:rPr>
                <w:lang w:val="hr-HR"/>
              </w:rPr>
              <w:fldChar w:fldCharType="begin">
                <w:ffData>
                  <w:name w:val="Check8"/>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146F18B0" w14:textId="77777777" w:rsidR="00CB730C" w:rsidRPr="00905271" w:rsidRDefault="00CB730C" w:rsidP="00180641">
            <w:pPr>
              <w:spacing w:before="60" w:after="60"/>
              <w:jc w:val="both"/>
              <w:rPr>
                <w:i/>
                <w:lang w:val="hr-HR"/>
              </w:rPr>
            </w:pPr>
            <w:r w:rsidRPr="00905271">
              <w:rPr>
                <w:i/>
                <w:lang w:val="hr-HR"/>
              </w:rPr>
              <w:t>Komisija tumači ovo pitanje vrlo široko – dovoljno je da proizvod ili usluga budu predmet trgovine među državama članicama</w:t>
            </w:r>
            <w:r w:rsidR="00F41DAA" w:rsidRPr="00905271">
              <w:rPr>
                <w:i/>
                <w:lang w:val="hr-HR"/>
              </w:rPr>
              <w:t xml:space="preserve"> ili bi potencijalno mogao biti predmet trgovine između država članica</w:t>
            </w:r>
            <w:r w:rsidRPr="00905271">
              <w:rPr>
                <w:i/>
                <w:lang w:val="hr-HR"/>
              </w:rPr>
              <w:t xml:space="preserve">, čak i ako sam korisnik potpore ne izvozi u EU. </w:t>
            </w:r>
            <w:r w:rsidR="00415C97" w:rsidRPr="00905271">
              <w:rPr>
                <w:i/>
                <w:lang w:val="hr-HR"/>
              </w:rPr>
              <w:t xml:space="preserve">Potrebno je provjeriti ima li djelatnost koju obavlja korisnik potpore stvarni ili potencijalni učinak na trgovinu između RH i država članica EU, odnosno dolazi li do narušavanja tržišnog natjecanja. </w:t>
            </w:r>
            <w:r w:rsidRPr="00905271">
              <w:rPr>
                <w:i/>
                <w:lang w:val="hr-HR"/>
              </w:rPr>
              <w:t>U skladu s tim, za većinu se aktivnosti</w:t>
            </w:r>
            <w:r w:rsidR="00F41DAA" w:rsidRPr="00905271">
              <w:rPr>
                <w:i/>
                <w:lang w:val="hr-HR"/>
              </w:rPr>
              <w:t>, osobito kada se radi o robi/proizvodima</w:t>
            </w:r>
            <w:r w:rsidRPr="00905271">
              <w:rPr>
                <w:i/>
                <w:lang w:val="hr-HR"/>
              </w:rPr>
              <w:t xml:space="preserve"> smatra da se njima može trgovati, te je odgovor na ovo pitanje gotovo uvijek '</w:t>
            </w:r>
            <w:proofErr w:type="spellStart"/>
            <w:r w:rsidRPr="00905271">
              <w:rPr>
                <w:i/>
                <w:lang w:val="hr-HR"/>
              </w:rPr>
              <w:t>da'.</w:t>
            </w:r>
            <w:r w:rsidR="00F41DAA" w:rsidRPr="00905271">
              <w:rPr>
                <w:i/>
                <w:lang w:val="hr-HR"/>
              </w:rPr>
              <w:t>Prema</w:t>
            </w:r>
            <w:proofErr w:type="spellEnd"/>
            <w:r w:rsidR="00F41DAA" w:rsidRPr="00905271">
              <w:rPr>
                <w:i/>
                <w:lang w:val="hr-HR"/>
              </w:rPr>
              <w:t xml:space="preserve"> dosadašnjoj praksi Europske komisije smatra se da u sljedećim slučajevima određena </w:t>
            </w:r>
            <w:proofErr w:type="spellStart"/>
            <w:r w:rsidR="00F41DAA" w:rsidRPr="00905271">
              <w:rPr>
                <w:i/>
                <w:lang w:val="hr-HR"/>
              </w:rPr>
              <w:t>mjerea</w:t>
            </w:r>
            <w:proofErr w:type="spellEnd"/>
            <w:r w:rsidR="00F41DAA" w:rsidRPr="00905271">
              <w:rPr>
                <w:i/>
                <w:lang w:val="hr-HR"/>
              </w:rPr>
              <w:t xml:space="preserve"> ne utječe na trgovinu između država članica:</w:t>
            </w:r>
          </w:p>
          <w:p w14:paraId="0512CC2B" w14:textId="77777777" w:rsidR="00092328" w:rsidRPr="00905271" w:rsidRDefault="00092328" w:rsidP="00B22102">
            <w:pPr>
              <w:numPr>
                <w:ilvl w:val="0"/>
                <w:numId w:val="11"/>
              </w:numPr>
              <w:spacing w:before="60" w:after="60"/>
              <w:jc w:val="both"/>
              <w:rPr>
                <w:i/>
                <w:lang w:val="hr-HR"/>
              </w:rPr>
            </w:pPr>
            <w:r w:rsidRPr="00905271">
              <w:rPr>
                <w:i/>
                <w:lang w:val="hr-HR"/>
              </w:rPr>
              <w:t>Ako ne dovodi do povećanja potražnje ili interesa za ulaganjima na određenom geografski ograničenom prostoru, i</w:t>
            </w:r>
          </w:p>
          <w:p w14:paraId="3D2F31E3" w14:textId="77777777" w:rsidR="00F41DAA" w:rsidRPr="00905271" w:rsidRDefault="00092328" w:rsidP="00B22102">
            <w:pPr>
              <w:numPr>
                <w:ilvl w:val="0"/>
                <w:numId w:val="11"/>
              </w:numPr>
              <w:spacing w:before="60" w:after="60"/>
              <w:jc w:val="both"/>
              <w:rPr>
                <w:i/>
                <w:lang w:val="hr-HR"/>
              </w:rPr>
            </w:pPr>
            <w:r w:rsidRPr="00905271">
              <w:rPr>
                <w:i/>
                <w:lang w:val="hr-HR"/>
              </w:rPr>
              <w:t>Ako se sredstva dodjeljuju korisnicima, osobito pružateljima usluga lokalnog značaja te se radi o marginalnom učinku takve potpore na tržište i potrošače iz drugih država članica (izgradnja bazena, uspinjača i žičara za domaće stanovništvo, izdavanje novina i časopisa na jeziku manjina ili narječju, izgradnji domova za starije osobe malog kapaciteta, muzeja i sl.)</w:t>
            </w:r>
          </w:p>
          <w:p w14:paraId="5699A802" w14:textId="77777777" w:rsidR="000C473B" w:rsidRPr="00905271" w:rsidRDefault="000C473B" w:rsidP="000C473B">
            <w:pPr>
              <w:spacing w:before="60" w:after="60"/>
              <w:jc w:val="both"/>
              <w:rPr>
                <w:i/>
                <w:lang w:val="hr-HR"/>
              </w:rPr>
            </w:pPr>
            <w:r w:rsidRPr="00905271">
              <w:rPr>
                <w:i/>
                <w:lang w:val="hr-HR"/>
              </w:rPr>
              <w:t>Napomen</w:t>
            </w:r>
            <w:r w:rsidR="003E4B65" w:rsidRPr="00905271">
              <w:rPr>
                <w:i/>
                <w:lang w:val="hr-HR"/>
              </w:rPr>
              <w:t>a</w:t>
            </w:r>
            <w:r w:rsidRPr="00905271">
              <w:rPr>
                <w:i/>
                <w:lang w:val="hr-HR"/>
              </w:rPr>
              <w:t>: Ugovor o funkcioniranje EU (UFEU) navodi i vrste potpora koje su spojive s unutarnjim tržištem, koje se, dakle, na temelju samog UFEU, mogu slobodno dodjeljivati bez ikakvih posebnih postupaka za njihovu ocjenu i odobrenje. To su:</w:t>
            </w:r>
          </w:p>
          <w:p w14:paraId="5FCF26B2" w14:textId="77777777" w:rsidR="000C473B" w:rsidRPr="00905271" w:rsidRDefault="000C473B" w:rsidP="00180641">
            <w:pPr>
              <w:numPr>
                <w:ilvl w:val="0"/>
                <w:numId w:val="10"/>
              </w:numPr>
              <w:spacing w:before="60" w:after="60"/>
              <w:jc w:val="both"/>
              <w:rPr>
                <w:i/>
                <w:lang w:val="hr-HR"/>
              </w:rPr>
            </w:pPr>
            <w:r w:rsidRPr="00905271">
              <w:rPr>
                <w:i/>
                <w:lang w:val="hr-HR"/>
              </w:rPr>
              <w:t>potpore socijalnog karaktera koje se dodjeljuju pojedinim potrošačima ako se to čini bez diskriminacije u odnosu na podrijetlo predmetnih proizvoda, i</w:t>
            </w:r>
          </w:p>
          <w:p w14:paraId="290C6FEE" w14:textId="77777777" w:rsidR="000C473B" w:rsidRPr="00905271" w:rsidRDefault="000C473B" w:rsidP="00180641">
            <w:pPr>
              <w:numPr>
                <w:ilvl w:val="0"/>
                <w:numId w:val="10"/>
              </w:numPr>
              <w:spacing w:before="60" w:after="60"/>
              <w:jc w:val="both"/>
              <w:rPr>
                <w:i/>
                <w:lang w:val="hr-HR"/>
              </w:rPr>
            </w:pPr>
            <w:r w:rsidRPr="00905271">
              <w:rPr>
                <w:i/>
                <w:lang w:val="hr-HR"/>
              </w:rPr>
              <w:t>potpore za otklanjanje štete nastale zbog prirodnih nepogoda ili izvanrednih događaja.</w:t>
            </w:r>
          </w:p>
        </w:tc>
      </w:tr>
      <w:tr w:rsidR="00CB730C" w:rsidRPr="00905271" w14:paraId="7FB84F1D" w14:textId="77777777" w:rsidTr="00D00396">
        <w:tc>
          <w:tcPr>
            <w:tcW w:w="223" w:type="pct"/>
          </w:tcPr>
          <w:p w14:paraId="64D08724"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2EDD5455" w14:textId="77777777" w:rsidR="00CB730C" w:rsidRPr="00905271" w:rsidRDefault="007D0434" w:rsidP="007D0434">
            <w:pPr>
              <w:pStyle w:val="NormalWeb"/>
              <w:jc w:val="both"/>
              <w:rPr>
                <w:lang w:val="hr-HR"/>
              </w:rPr>
            </w:pPr>
            <w:r w:rsidRPr="00905271">
              <w:rPr>
                <w:lang w:val="hr-HR"/>
              </w:rPr>
              <w:t>Utječe li mjera na n</w:t>
            </w:r>
            <w:r w:rsidR="00CB730C" w:rsidRPr="00905271">
              <w:rPr>
                <w:lang w:val="hr-HR"/>
              </w:rPr>
              <w:t>arušava</w:t>
            </w:r>
            <w:r w:rsidRPr="00905271">
              <w:rPr>
                <w:lang w:val="hr-HR"/>
              </w:rPr>
              <w:t>nje</w:t>
            </w:r>
            <w:r w:rsidR="00CB730C" w:rsidRPr="00905271">
              <w:rPr>
                <w:lang w:val="hr-HR"/>
              </w:rPr>
              <w:t xml:space="preserve"> tržišno</w:t>
            </w:r>
            <w:r w:rsidRPr="00905271">
              <w:rPr>
                <w:lang w:val="hr-HR"/>
              </w:rPr>
              <w:t>g</w:t>
            </w:r>
            <w:r w:rsidR="00CB730C" w:rsidRPr="00905271">
              <w:rPr>
                <w:lang w:val="hr-HR"/>
              </w:rPr>
              <w:t xml:space="preserve"> natjecanj</w:t>
            </w:r>
            <w:r w:rsidRPr="00905271">
              <w:rPr>
                <w:lang w:val="hr-HR"/>
              </w:rPr>
              <w:t>a</w:t>
            </w:r>
            <w:r w:rsidR="00CB730C" w:rsidRPr="00905271">
              <w:rPr>
                <w:lang w:val="hr-HR"/>
              </w:rPr>
              <w:t xml:space="preserve">, odnosno ima li potencijal da naruši tržišno natjecanje? </w:t>
            </w:r>
          </w:p>
        </w:tc>
        <w:tc>
          <w:tcPr>
            <w:tcW w:w="224" w:type="pct"/>
          </w:tcPr>
          <w:p w14:paraId="7BF91C10" w14:textId="77777777" w:rsidR="00CB730C" w:rsidRPr="00905271" w:rsidRDefault="00CB730C" w:rsidP="00CB730C">
            <w:pPr>
              <w:spacing w:before="60" w:after="60"/>
              <w:jc w:val="center"/>
              <w:rPr>
                <w:lang w:val="hr-HR"/>
              </w:rPr>
            </w:pPr>
            <w:r w:rsidRPr="00905271">
              <w:rPr>
                <w:lang w:val="hr-HR"/>
              </w:rPr>
              <w:fldChar w:fldCharType="begin">
                <w:ffData>
                  <w:name w:val="Check7"/>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1EB69431" w14:textId="77777777" w:rsidR="00CB730C" w:rsidRPr="00905271" w:rsidRDefault="00CB730C" w:rsidP="00CB730C">
            <w:pPr>
              <w:spacing w:before="60" w:after="60"/>
              <w:jc w:val="center"/>
              <w:rPr>
                <w:lang w:val="hr-HR"/>
              </w:rPr>
            </w:pPr>
            <w:r w:rsidRPr="00905271">
              <w:rPr>
                <w:lang w:val="hr-HR"/>
              </w:rPr>
              <w:fldChar w:fldCharType="begin">
                <w:ffData>
                  <w:name w:val="Check8"/>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5D5FD160" w14:textId="77777777" w:rsidR="00CB730C" w:rsidRPr="00905271" w:rsidRDefault="00CB730C" w:rsidP="00180641">
            <w:pPr>
              <w:spacing w:before="60" w:after="60"/>
              <w:jc w:val="both"/>
              <w:rPr>
                <w:i/>
                <w:lang w:val="hr-HR"/>
              </w:rPr>
            </w:pPr>
            <w:r w:rsidRPr="00905271">
              <w:rPr>
                <w:i/>
                <w:lang w:val="hr-HR"/>
              </w:rPr>
              <w:t>Ako potpora ima potencijal ojača</w:t>
            </w:r>
            <w:r w:rsidR="00CD49BC" w:rsidRPr="00905271">
              <w:rPr>
                <w:i/>
                <w:lang w:val="hr-HR"/>
              </w:rPr>
              <w:t>ti</w:t>
            </w:r>
            <w:r w:rsidRPr="00905271">
              <w:rPr>
                <w:i/>
                <w:lang w:val="hr-HR"/>
              </w:rPr>
              <w:t xml:space="preserve"> poziciju korisnika u odnosu na konkurente, tada ima potencijal naruši</w:t>
            </w:r>
            <w:r w:rsidR="00CD49BC" w:rsidRPr="00905271">
              <w:rPr>
                <w:i/>
                <w:lang w:val="hr-HR"/>
              </w:rPr>
              <w:t>ti</w:t>
            </w:r>
            <w:r w:rsidRPr="00905271">
              <w:rPr>
                <w:i/>
                <w:lang w:val="hr-HR"/>
              </w:rPr>
              <w:t xml:space="preserve"> trgovinu i tržišno natjecanje. </w:t>
            </w:r>
            <w:r w:rsidR="00CD49BC" w:rsidRPr="00905271">
              <w:rPr>
                <w:i/>
                <w:lang w:val="hr-HR"/>
              </w:rPr>
              <w:t xml:space="preserve">Važno </w:t>
            </w:r>
            <w:r w:rsidRPr="00905271">
              <w:rPr>
                <w:i/>
                <w:lang w:val="hr-HR"/>
              </w:rPr>
              <w:t>je da narušavanje tržišnog natjecanja ne mora biti veliko ili značajno, i da uključuje i male iznose potpore i tvrtke s malim tržišnim udjelom. Stoga većina intervencija imaju potencijal naru</w:t>
            </w:r>
            <w:r w:rsidR="003E4B65" w:rsidRPr="00905271">
              <w:rPr>
                <w:i/>
                <w:lang w:val="hr-HR"/>
              </w:rPr>
              <w:t>šiti</w:t>
            </w:r>
            <w:r w:rsidRPr="00905271">
              <w:rPr>
                <w:i/>
                <w:lang w:val="hr-HR"/>
              </w:rPr>
              <w:t xml:space="preserve"> tržišno natjecanje</w:t>
            </w:r>
            <w:r w:rsidR="00092328" w:rsidRPr="00905271">
              <w:rPr>
                <w:i/>
                <w:lang w:val="hr-HR"/>
              </w:rPr>
              <w:t>, osim ranije navedenih intervencija koje zbog svog ograničenog opsega tj. lokalnog karaktera ne dovode do narušavanja tržišnog natjecanja između država članica EU</w:t>
            </w:r>
            <w:r w:rsidRPr="00905271">
              <w:rPr>
                <w:i/>
                <w:lang w:val="hr-HR"/>
              </w:rPr>
              <w:t>.</w:t>
            </w:r>
          </w:p>
          <w:p w14:paraId="3FF024D8" w14:textId="77777777" w:rsidR="00CB730C" w:rsidRPr="00905271" w:rsidRDefault="00CB730C" w:rsidP="00180641">
            <w:pPr>
              <w:spacing w:before="60" w:after="60"/>
              <w:jc w:val="both"/>
              <w:rPr>
                <w:i/>
                <w:lang w:val="hr-HR"/>
              </w:rPr>
            </w:pPr>
          </w:p>
          <w:p w14:paraId="7AC24B8E" w14:textId="77777777" w:rsidR="00E36CF2" w:rsidRPr="00905271" w:rsidRDefault="00092328" w:rsidP="00180641">
            <w:pPr>
              <w:spacing w:before="60" w:after="60"/>
              <w:jc w:val="both"/>
              <w:rPr>
                <w:i/>
                <w:lang w:val="hr-HR"/>
              </w:rPr>
            </w:pPr>
            <w:r w:rsidRPr="00905271">
              <w:rPr>
                <w:i/>
                <w:lang w:val="hr-HR"/>
              </w:rPr>
              <w:lastRenderedPageBreak/>
              <w:t xml:space="preserve">Posljedično, polazeći od prakse Europske komisije za određene </w:t>
            </w:r>
            <w:r w:rsidR="007E220F" w:rsidRPr="00905271">
              <w:rPr>
                <w:i/>
                <w:lang w:val="hr-HR"/>
              </w:rPr>
              <w:t>slučajeve p</w:t>
            </w:r>
            <w:r w:rsidR="00CB730C" w:rsidRPr="00905271">
              <w:rPr>
                <w:i/>
                <w:lang w:val="hr-HR"/>
              </w:rPr>
              <w:t xml:space="preserve">ostoji ograničena mogućnost da se zaključi da </w:t>
            </w:r>
            <w:r w:rsidR="007E220F" w:rsidRPr="00905271">
              <w:rPr>
                <w:i/>
                <w:lang w:val="hr-HR"/>
              </w:rPr>
              <w:t xml:space="preserve">određena </w:t>
            </w:r>
            <w:r w:rsidR="00CB730C" w:rsidRPr="00905271">
              <w:rPr>
                <w:i/>
                <w:lang w:val="hr-HR"/>
              </w:rPr>
              <w:t xml:space="preserve"> mjera ne narušava trgovinu među državama članicama (te stoga nije državna potpora) ako se može dokazati da je potpora ograničena na financiranje 'lokalnih aktivnosti'</w:t>
            </w:r>
            <w:r w:rsidR="007E220F" w:rsidRPr="00905271">
              <w:rPr>
                <w:i/>
                <w:lang w:val="hr-HR"/>
              </w:rPr>
              <w:t xml:space="preserve"> i da ne utječe na poduzetnike i potrošače iz drugih država članica. </w:t>
            </w:r>
            <w:r w:rsidR="00CB730C" w:rsidRPr="00905271">
              <w:rPr>
                <w:i/>
                <w:lang w:val="hr-HR"/>
              </w:rPr>
              <w:t xml:space="preserve">. </w:t>
            </w:r>
          </w:p>
          <w:p w14:paraId="0AD985AB" w14:textId="77777777" w:rsidR="00CB730C" w:rsidRPr="00905271" w:rsidRDefault="00E36CF2" w:rsidP="00B91835">
            <w:pPr>
              <w:spacing w:before="60" w:after="60"/>
              <w:jc w:val="both"/>
              <w:rPr>
                <w:i/>
                <w:lang w:val="hr-HR"/>
              </w:rPr>
            </w:pPr>
            <w:r w:rsidRPr="00905271">
              <w:rPr>
                <w:i/>
                <w:lang w:val="hr-HR"/>
              </w:rPr>
              <w:t>U slučaju nedoumica je li u konkretnom slučaju riječ o državnoj potpori/potpori male vrijednosti ili ne, može se (ne postoji obveza) zatražiti očitovanje od Ministarstva financija, a koje, sukladno članku 5. stavku 2. Zakona o državnim potporama (NN br. 47/14) pruža stručnu pomoć davateljima i korisnicima državnih potpora/potpora male vrijednosti radi ispravne primjene i razumijevanja propisa i pravila o državnim potporama i potporama male vrijednosti te pripreme prijedloga programa državnih potpora i potpora male vrijednosti i pojedinačnih državnih potpora i potpora male vrijednosti i akata koji predstavljaju pravnu osnovu za donošenje programa državnih potpora i potpora male vrijednosti.</w:t>
            </w:r>
          </w:p>
          <w:p w14:paraId="55E9A6FE" w14:textId="77777777" w:rsidR="00CB730C" w:rsidRPr="00905271" w:rsidRDefault="00CB730C" w:rsidP="00180641">
            <w:pPr>
              <w:spacing w:before="60" w:after="60"/>
              <w:jc w:val="both"/>
              <w:rPr>
                <w:i/>
                <w:lang w:val="hr-HR"/>
              </w:rPr>
            </w:pPr>
          </w:p>
        </w:tc>
      </w:tr>
      <w:tr w:rsidR="00D00396" w:rsidRPr="00905271" w14:paraId="35FC59DE" w14:textId="77777777" w:rsidTr="00D00396">
        <w:tc>
          <w:tcPr>
            <w:tcW w:w="223" w:type="pct"/>
          </w:tcPr>
          <w:p w14:paraId="5CBFFA81" w14:textId="77777777" w:rsidR="00D00396" w:rsidRPr="00905271" w:rsidRDefault="00D00396" w:rsidP="00CB730C">
            <w:pPr>
              <w:numPr>
                <w:ilvl w:val="0"/>
                <w:numId w:val="1"/>
              </w:numPr>
              <w:tabs>
                <w:tab w:val="left" w:pos="267"/>
              </w:tabs>
              <w:ind w:left="34" w:hanging="34"/>
              <w:jc w:val="both"/>
              <w:rPr>
                <w:lang w:val="hr-HR"/>
              </w:rPr>
            </w:pPr>
          </w:p>
        </w:tc>
        <w:tc>
          <w:tcPr>
            <w:tcW w:w="1347" w:type="pct"/>
          </w:tcPr>
          <w:p w14:paraId="4BFA0127" w14:textId="77777777" w:rsidR="00D00396" w:rsidRPr="00905271" w:rsidRDefault="00D00396" w:rsidP="00684FFC">
            <w:pPr>
              <w:pStyle w:val="NormalWeb"/>
              <w:jc w:val="both"/>
              <w:rPr>
                <w:lang w:val="hr-HR"/>
              </w:rPr>
            </w:pPr>
            <w:r w:rsidRPr="00905271">
              <w:rPr>
                <w:lang w:val="hr-HR"/>
              </w:rPr>
              <w:t xml:space="preserve">Sudjeluju li primatelji sredstava na tržištu roba i usluga obavljajući gospodarsku djelatnost? </w:t>
            </w:r>
          </w:p>
        </w:tc>
        <w:tc>
          <w:tcPr>
            <w:tcW w:w="224" w:type="pct"/>
          </w:tcPr>
          <w:p w14:paraId="510B0A49" w14:textId="77777777" w:rsidR="00D00396" w:rsidRPr="00905271" w:rsidRDefault="00D00396" w:rsidP="00CB730C">
            <w:pPr>
              <w:spacing w:before="60" w:after="60"/>
              <w:jc w:val="center"/>
              <w:rPr>
                <w:lang w:val="hr-HR"/>
              </w:rPr>
            </w:pPr>
            <w:r w:rsidRPr="00905271">
              <w:rPr>
                <w:lang w:val="hr-HR"/>
              </w:rPr>
              <w:fldChar w:fldCharType="begin">
                <w:ffData>
                  <w:name w:val="Check7"/>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2F96798C" w14:textId="77777777" w:rsidR="00D00396" w:rsidRPr="00905271" w:rsidRDefault="00D00396" w:rsidP="00CB730C">
            <w:pPr>
              <w:spacing w:before="60" w:after="60"/>
              <w:jc w:val="center"/>
              <w:rPr>
                <w:lang w:val="hr-HR"/>
              </w:rPr>
            </w:pPr>
            <w:r w:rsidRPr="00905271">
              <w:rPr>
                <w:lang w:val="hr-HR"/>
              </w:rPr>
              <w:fldChar w:fldCharType="begin">
                <w:ffData>
                  <w:name w:val="Check8"/>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3AC1C055" w14:textId="77777777" w:rsidR="00D00396" w:rsidRPr="00905271" w:rsidRDefault="007E220F" w:rsidP="00EC09E9">
            <w:pPr>
              <w:spacing w:before="60" w:after="60"/>
              <w:jc w:val="both"/>
              <w:rPr>
                <w:i/>
                <w:lang w:val="hr-HR"/>
              </w:rPr>
            </w:pPr>
            <w:r w:rsidRPr="00905271">
              <w:rPr>
                <w:i/>
                <w:lang w:val="hr-HR"/>
              </w:rPr>
              <w:t>S</w:t>
            </w:r>
            <w:r w:rsidR="00D76EEA" w:rsidRPr="00905271">
              <w:rPr>
                <w:i/>
                <w:lang w:val="hr-HR"/>
              </w:rPr>
              <w:t xml:space="preserve"> aspekta </w:t>
            </w:r>
            <w:r w:rsidRPr="00905271">
              <w:rPr>
                <w:i/>
                <w:lang w:val="hr-HR"/>
              </w:rPr>
              <w:t xml:space="preserve">propisa o </w:t>
            </w:r>
            <w:r w:rsidR="00D76EEA" w:rsidRPr="00905271">
              <w:rPr>
                <w:i/>
                <w:lang w:val="hr-HR"/>
              </w:rPr>
              <w:t>državn</w:t>
            </w:r>
            <w:r w:rsidRPr="00905271">
              <w:rPr>
                <w:i/>
                <w:lang w:val="hr-HR"/>
              </w:rPr>
              <w:t xml:space="preserve">im potporama svaki subjekt koji pruža/nudi proizvode i/ili usluge na tržištu obavlja gospodarsku </w:t>
            </w:r>
            <w:proofErr w:type="spellStart"/>
            <w:r w:rsidRPr="00905271">
              <w:rPr>
                <w:i/>
                <w:lang w:val="hr-HR"/>
              </w:rPr>
              <w:t>djelalatnost</w:t>
            </w:r>
            <w:proofErr w:type="spellEnd"/>
            <w:r w:rsidRPr="00905271">
              <w:rPr>
                <w:i/>
                <w:lang w:val="hr-HR"/>
              </w:rPr>
              <w:t xml:space="preserve"> i smatra se poduzetnikom u smislu članka 107. stavka 1. Ugovora o funkcioniranju EU (dalje: UFEU), odnosno primateljem/korisnikom državne potpore ako koristi državna/javna </w:t>
            </w:r>
            <w:proofErr w:type="spellStart"/>
            <w:r w:rsidRPr="00905271">
              <w:rPr>
                <w:i/>
                <w:lang w:val="hr-HR"/>
              </w:rPr>
              <w:t>sresdstva</w:t>
            </w:r>
            <w:proofErr w:type="spellEnd"/>
            <w:r w:rsidRPr="00905271">
              <w:rPr>
                <w:i/>
                <w:lang w:val="hr-HR"/>
              </w:rPr>
              <w:t xml:space="preserve"> ili sredstva koja su </w:t>
            </w:r>
            <w:proofErr w:type="spellStart"/>
            <w:r w:rsidRPr="00905271">
              <w:rPr>
                <w:i/>
                <w:lang w:val="hr-HR"/>
              </w:rPr>
              <w:t>pripisiva</w:t>
            </w:r>
            <w:proofErr w:type="spellEnd"/>
            <w:r w:rsidRPr="00905271">
              <w:rPr>
                <w:i/>
                <w:lang w:val="hr-HR"/>
              </w:rPr>
              <w:t xml:space="preserve"> državi.  Pri tome </w:t>
            </w:r>
            <w:r w:rsidR="00D00396" w:rsidRPr="00905271">
              <w:rPr>
                <w:i/>
                <w:lang w:val="hr-HR"/>
              </w:rPr>
              <w:t>irelevantan</w:t>
            </w:r>
            <w:r w:rsidR="00D76EEA" w:rsidRPr="00905271">
              <w:rPr>
                <w:i/>
                <w:lang w:val="hr-HR"/>
              </w:rPr>
              <w:t xml:space="preserve"> je</w:t>
            </w:r>
            <w:r w:rsidR="00D00396" w:rsidRPr="00905271">
              <w:rPr>
                <w:i/>
                <w:lang w:val="hr-HR"/>
              </w:rPr>
              <w:t xml:space="preserve"> pravni oblik</w:t>
            </w:r>
            <w:r w:rsidR="00933147" w:rsidRPr="00905271">
              <w:rPr>
                <w:i/>
                <w:lang w:val="hr-HR"/>
              </w:rPr>
              <w:t xml:space="preserve"> primatelja</w:t>
            </w:r>
            <w:r w:rsidR="00D00396" w:rsidRPr="00905271">
              <w:rPr>
                <w:i/>
                <w:lang w:val="hr-HR"/>
              </w:rPr>
              <w:t xml:space="preserve">, </w:t>
            </w:r>
            <w:r w:rsidRPr="00905271">
              <w:rPr>
                <w:i/>
                <w:lang w:val="hr-HR"/>
              </w:rPr>
              <w:t xml:space="preserve">način na koji se </w:t>
            </w:r>
            <w:r w:rsidR="00D00396" w:rsidRPr="00905271">
              <w:rPr>
                <w:i/>
                <w:lang w:val="hr-HR"/>
              </w:rPr>
              <w:t xml:space="preserve"> financira</w:t>
            </w:r>
            <w:r w:rsidRPr="00905271">
              <w:rPr>
                <w:i/>
                <w:lang w:val="hr-HR"/>
              </w:rPr>
              <w:t xml:space="preserve"> ili da li je osnovan radi ostvarivanja dobiti. Udruga ili sportski klub također mogu biti primatelji potpora ukoliko obavljaju gospodarsku djelatnost (marketing, prodaju suvenira, posredovanje u trgovini, itd.). Klasifikacija subjekta kao poduzetnika – primatelja potpore ovisi od djelatnosti koju obavlja. Subjekt koji obavlja </w:t>
            </w:r>
            <w:r w:rsidRPr="00905271">
              <w:rPr>
                <w:lang w:val="hr-HR"/>
              </w:rPr>
              <w:t>gospodarsku</w:t>
            </w:r>
            <w:r w:rsidRPr="00905271">
              <w:rPr>
                <w:i/>
                <w:lang w:val="hr-HR"/>
              </w:rPr>
              <w:t xml:space="preserve"> i ne-gospodarsku (javnu) djelatnost, smatra se poduzetnikom u smislu propisa o potporama samo kada obavlja gospodarsku djelatnosti. </w:t>
            </w:r>
            <w:r w:rsidR="00D00396" w:rsidRPr="00905271">
              <w:rPr>
                <w:i/>
                <w:lang w:val="hr-HR"/>
              </w:rPr>
              <w:t xml:space="preserve"> </w:t>
            </w:r>
            <w:r w:rsidRPr="00905271">
              <w:rPr>
                <w:i/>
                <w:lang w:val="hr-HR"/>
              </w:rPr>
              <w:t>U</w:t>
            </w:r>
            <w:r w:rsidR="00D00396" w:rsidRPr="00905271">
              <w:rPr>
                <w:i/>
                <w:lang w:val="hr-HR"/>
              </w:rPr>
              <w:t>koliko</w:t>
            </w:r>
            <w:r w:rsidR="00D76EEA" w:rsidRPr="00905271">
              <w:rPr>
                <w:i/>
                <w:lang w:val="hr-HR"/>
              </w:rPr>
              <w:t xml:space="preserve"> primatelji sredstava</w:t>
            </w:r>
            <w:r w:rsidR="00D00396" w:rsidRPr="00905271">
              <w:rPr>
                <w:i/>
                <w:lang w:val="hr-HR"/>
              </w:rPr>
              <w:t xml:space="preserve"> obavljaju usluge netržišnog/negospodarskog karaktera, odnosno usluge javnog i/ili socijalnog karaktera </w:t>
            </w:r>
            <w:r w:rsidR="00EC09E9" w:rsidRPr="00905271">
              <w:rPr>
                <w:i/>
                <w:lang w:val="hr-HR"/>
              </w:rPr>
              <w:t xml:space="preserve">koje se temelje na načelima solidarnosti </w:t>
            </w:r>
            <w:r w:rsidR="00D00396" w:rsidRPr="00905271">
              <w:rPr>
                <w:i/>
                <w:lang w:val="hr-HR"/>
              </w:rPr>
              <w:t>, takve usluge ne predstavljaju gospodarsku djelatnost u smislu članka</w:t>
            </w:r>
            <w:r w:rsidR="00EC09E9" w:rsidRPr="00905271">
              <w:rPr>
                <w:i/>
                <w:lang w:val="hr-HR"/>
              </w:rPr>
              <w:t xml:space="preserve"> 107. Stavka 1. Ugovora o funkcioniranju  </w:t>
            </w:r>
            <w:proofErr w:type="spellStart"/>
            <w:r w:rsidR="00EC09E9" w:rsidRPr="00905271">
              <w:rPr>
                <w:i/>
                <w:lang w:val="hr-HR"/>
              </w:rPr>
              <w:t>Europoske</w:t>
            </w:r>
            <w:proofErr w:type="spellEnd"/>
            <w:r w:rsidR="00EC09E9" w:rsidRPr="00905271">
              <w:rPr>
                <w:i/>
                <w:lang w:val="hr-HR"/>
              </w:rPr>
              <w:t xml:space="preserve"> unije, odnosno članka</w:t>
            </w:r>
            <w:r w:rsidR="00D00396" w:rsidRPr="00905271">
              <w:rPr>
                <w:i/>
                <w:lang w:val="hr-HR"/>
              </w:rPr>
              <w:t xml:space="preserve"> 2. podstavka 1. Zakona o državnim potporama, pa sredstva koja se dodjeljuju tim subjektima ne predstavljaju državnu potporu</w:t>
            </w:r>
            <w:r w:rsidR="00EC09E9" w:rsidRPr="00905271">
              <w:rPr>
                <w:i/>
                <w:lang w:val="hr-HR"/>
              </w:rPr>
              <w:t>.</w:t>
            </w:r>
          </w:p>
        </w:tc>
      </w:tr>
      <w:tr w:rsidR="00CB730C" w:rsidRPr="00905271" w14:paraId="3C1E93C3" w14:textId="77777777" w:rsidTr="00D00396">
        <w:tc>
          <w:tcPr>
            <w:tcW w:w="223" w:type="pct"/>
          </w:tcPr>
          <w:p w14:paraId="2D105D16"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67CFDAC0" w14:textId="77777777" w:rsidR="00CB730C" w:rsidRPr="00905271" w:rsidRDefault="00CB730C" w:rsidP="00652C5E">
            <w:pPr>
              <w:pStyle w:val="NormalWeb"/>
              <w:jc w:val="both"/>
              <w:rPr>
                <w:lang w:val="hr-HR"/>
              </w:rPr>
            </w:pPr>
            <w:r w:rsidRPr="00905271">
              <w:rPr>
                <w:lang w:val="hr-HR"/>
              </w:rPr>
              <w:t xml:space="preserve">Ako je odgovor na sva gornja pitanja pozitivan, je li u </w:t>
            </w:r>
            <w:r w:rsidR="00652C5E" w:rsidRPr="00905271">
              <w:rPr>
                <w:lang w:val="hr-HR"/>
              </w:rPr>
              <w:t xml:space="preserve">prijedlogu programa državne potpore/potpore male vrijednosti </w:t>
            </w:r>
            <w:r w:rsidR="00652C5E" w:rsidRPr="00905271">
              <w:rPr>
                <w:lang w:val="hr-HR"/>
              </w:rPr>
              <w:lastRenderedPageBreak/>
              <w:t>ili pojedinačnoj državnoj potpori ili potpori male vrijednosti</w:t>
            </w:r>
            <w:r w:rsidRPr="00905271">
              <w:rPr>
                <w:lang w:val="hr-HR"/>
              </w:rPr>
              <w:t xml:space="preserve"> navedena pravna osnova za državnu potporu</w:t>
            </w:r>
            <w:r w:rsidR="00652C5E" w:rsidRPr="00905271">
              <w:rPr>
                <w:lang w:val="hr-HR"/>
              </w:rPr>
              <w:t>/potporu male vrijednosti</w:t>
            </w:r>
            <w:r w:rsidRPr="00905271">
              <w:rPr>
                <w:lang w:val="hr-HR"/>
              </w:rPr>
              <w:t>?</w:t>
            </w:r>
          </w:p>
        </w:tc>
        <w:tc>
          <w:tcPr>
            <w:tcW w:w="224" w:type="pct"/>
          </w:tcPr>
          <w:p w14:paraId="2C07D5B6" w14:textId="77777777" w:rsidR="00CB730C" w:rsidRPr="00905271" w:rsidRDefault="00CB730C" w:rsidP="00CB730C">
            <w:pPr>
              <w:spacing w:before="60" w:after="60"/>
              <w:jc w:val="center"/>
              <w:rPr>
                <w:lang w:val="hr-HR"/>
              </w:rPr>
            </w:pPr>
            <w:r w:rsidRPr="00905271">
              <w:rPr>
                <w:lang w:val="hr-HR"/>
              </w:rPr>
              <w:lastRenderedPageBreak/>
              <w:fldChar w:fldCharType="begin">
                <w:ffData>
                  <w:name w:val="Check7"/>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439E786A" w14:textId="77777777" w:rsidR="00CB730C" w:rsidRPr="00905271" w:rsidRDefault="00CB730C" w:rsidP="00CB730C">
            <w:pPr>
              <w:spacing w:before="60" w:after="60"/>
              <w:jc w:val="center"/>
              <w:rPr>
                <w:lang w:val="hr-HR"/>
              </w:rPr>
            </w:pPr>
            <w:r w:rsidRPr="00905271">
              <w:rPr>
                <w:lang w:val="hr-HR"/>
              </w:rPr>
              <w:fldChar w:fldCharType="begin">
                <w:ffData>
                  <w:name w:val="Check8"/>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317E576C" w14:textId="77777777" w:rsidR="00CB730C" w:rsidRPr="00905271" w:rsidRDefault="00CB730C" w:rsidP="00180641">
            <w:pPr>
              <w:spacing w:before="60" w:after="60"/>
              <w:jc w:val="both"/>
              <w:rPr>
                <w:i/>
                <w:lang w:val="hr-HR"/>
              </w:rPr>
            </w:pPr>
            <w:r w:rsidRPr="00905271">
              <w:rPr>
                <w:i/>
                <w:lang w:val="hr-HR"/>
              </w:rPr>
              <w:t>Indikativan popis relevantnih propisa primjenjivih na pitanja državnih potpora</w:t>
            </w:r>
            <w:r w:rsidR="00C0096D" w:rsidRPr="00905271">
              <w:rPr>
                <w:i/>
                <w:lang w:val="hr-HR"/>
              </w:rPr>
              <w:t xml:space="preserve"> (navesti relevantnu pravnu osnovu PDP-a) </w:t>
            </w:r>
            <w:r w:rsidRPr="00905271">
              <w:rPr>
                <w:i/>
                <w:lang w:val="hr-HR"/>
              </w:rPr>
              <w:t>:</w:t>
            </w:r>
          </w:p>
          <w:p w14:paraId="56EC86B3" w14:textId="77777777" w:rsidR="006309DB" w:rsidRPr="00905271" w:rsidRDefault="006309DB" w:rsidP="00180641">
            <w:pPr>
              <w:spacing w:before="60" w:after="60"/>
              <w:jc w:val="both"/>
              <w:rPr>
                <w:i/>
                <w:lang w:val="hr-HR"/>
              </w:rPr>
            </w:pPr>
          </w:p>
          <w:p w14:paraId="4AF87145" w14:textId="77777777" w:rsidR="006309DB" w:rsidRPr="00905271" w:rsidRDefault="006309DB" w:rsidP="006309DB">
            <w:pPr>
              <w:pStyle w:val="NormalWeb"/>
              <w:shd w:val="clear" w:color="auto" w:fill="FFFFFF"/>
              <w:spacing w:before="150" w:beforeAutospacing="0" w:after="150" w:afterAutospacing="0"/>
              <w:rPr>
                <w:i/>
                <w:color w:val="232323"/>
                <w:u w:val="single"/>
                <w:lang w:val="hr-HR"/>
              </w:rPr>
            </w:pPr>
            <w:r w:rsidRPr="00905271">
              <w:rPr>
                <w:i/>
                <w:color w:val="232323"/>
                <w:u w:val="single"/>
              </w:rPr>
              <w:t>Propisi Europske unije kojima se uređuju državne potpore:</w:t>
            </w:r>
          </w:p>
          <w:p w14:paraId="381E41A7" w14:textId="77777777" w:rsidR="006309DB" w:rsidRPr="00905271" w:rsidRDefault="00F06D3F" w:rsidP="008D4EED">
            <w:pPr>
              <w:pStyle w:val="NormalWeb"/>
              <w:shd w:val="clear" w:color="auto" w:fill="FFFFFF"/>
              <w:spacing w:before="0" w:beforeAutospacing="0" w:after="0" w:afterAutospacing="0"/>
              <w:rPr>
                <w:rStyle w:val="Hyperlink"/>
                <w:lang w:val="hr-HR"/>
              </w:rPr>
            </w:pPr>
            <w:hyperlink r:id="rId7" w:history="1">
              <w:r w:rsidR="006309DB" w:rsidRPr="00905271">
                <w:rPr>
                  <w:rStyle w:val="Hyperlink"/>
                  <w:lang w:val="hr-HR" w:eastAsia="en-US"/>
                </w:rPr>
                <w:t>http://ec.europa.eu/competition/state_aid/legislation/legislation.html</w:t>
              </w:r>
            </w:hyperlink>
          </w:p>
          <w:p w14:paraId="7BC9787C" w14:textId="77777777" w:rsidR="00ED63F6" w:rsidRPr="00905271" w:rsidRDefault="00ED63F6" w:rsidP="00ED63F6">
            <w:pPr>
              <w:pStyle w:val="NormalWeb"/>
              <w:shd w:val="clear" w:color="auto" w:fill="FFFFFF"/>
              <w:spacing w:before="150" w:beforeAutospacing="0" w:after="150" w:afterAutospacing="0"/>
              <w:rPr>
                <w:color w:val="232323"/>
              </w:rPr>
            </w:pPr>
          </w:p>
          <w:p w14:paraId="7B201E8F" w14:textId="77777777" w:rsidR="00ED63F6" w:rsidRPr="00905271" w:rsidRDefault="00ED63F6" w:rsidP="00ED63F6">
            <w:pPr>
              <w:pStyle w:val="NormalWeb"/>
              <w:shd w:val="clear" w:color="auto" w:fill="FFFFFF"/>
              <w:spacing w:before="150" w:beforeAutospacing="0" w:after="150" w:afterAutospacing="0"/>
              <w:rPr>
                <w:color w:val="232323"/>
                <w:lang w:val="hr-HR"/>
              </w:rPr>
            </w:pPr>
            <w:r w:rsidRPr="00905271">
              <w:rPr>
                <w:color w:val="232323"/>
              </w:rPr>
              <w:t>Od novijih propisa Europske unije izdvajaju se:</w:t>
            </w:r>
          </w:p>
          <w:p w14:paraId="1A415B59" w14:textId="77777777" w:rsidR="00ED63F6" w:rsidRPr="00905271" w:rsidRDefault="00ED63F6" w:rsidP="00ED63F6">
            <w:pPr>
              <w:pStyle w:val="NormalWeb"/>
              <w:shd w:val="clear" w:color="auto" w:fill="FFFFFF"/>
              <w:spacing w:before="0" w:beforeAutospacing="0" w:after="0" w:afterAutospacing="0"/>
              <w:rPr>
                <w:color w:val="232323"/>
              </w:rPr>
            </w:pPr>
            <w:r w:rsidRPr="00905271">
              <w:rPr>
                <w:color w:val="232323"/>
              </w:rPr>
              <w:t>-</w:t>
            </w:r>
            <w:r w:rsidRPr="00905271">
              <w:rPr>
                <w:rStyle w:val="apple-converted-space"/>
                <w:color w:val="232323"/>
              </w:rPr>
              <w:t> </w:t>
            </w:r>
            <w:r w:rsidRPr="00905271">
              <w:rPr>
                <w:rStyle w:val="Strong"/>
                <w:b w:val="0"/>
                <w:color w:val="232323"/>
              </w:rPr>
              <w:t>Uredba Komisije (EU) br. 651/2014 оd 17. lipnja 2014. o ocjenjivanju određenih kategorija potpora spojivima s unutarnjim tržištem u primjeni članaka 107. i 108. Ugovora</w:t>
            </w:r>
            <w:r w:rsidRPr="00905271">
              <w:rPr>
                <w:rStyle w:val="apple-converted-space"/>
                <w:color w:val="232323"/>
              </w:rPr>
              <w:t> </w:t>
            </w:r>
            <w:r w:rsidRPr="00905271">
              <w:rPr>
                <w:color w:val="232323"/>
              </w:rPr>
              <w:t>(Službeni list Europske unije L 187, 26.6.2014.)</w:t>
            </w:r>
          </w:p>
          <w:p w14:paraId="585A2180" w14:textId="0148B1CF" w:rsidR="00ED63F6" w:rsidRDefault="00F06D3F" w:rsidP="00ED63F6">
            <w:pPr>
              <w:pStyle w:val="NormalWeb"/>
              <w:shd w:val="clear" w:color="auto" w:fill="FFFFFF"/>
              <w:spacing w:before="0" w:beforeAutospacing="0" w:after="0" w:afterAutospacing="0"/>
              <w:rPr>
                <w:rStyle w:val="Hyperlink"/>
                <w:lang w:val="hr-HR" w:eastAsia="en-US"/>
              </w:rPr>
            </w:pPr>
            <w:hyperlink r:id="rId8" w:history="1">
              <w:r w:rsidR="00ED63F6" w:rsidRPr="00905271">
                <w:rPr>
                  <w:rStyle w:val="Hyperlink"/>
                  <w:lang w:val="hr-HR" w:eastAsia="en-US"/>
                </w:rPr>
                <w:t>http://eur-lex.europa.eu/legal-</w:t>
              </w:r>
              <w:r w:rsidR="00ED63F6" w:rsidRPr="00B50A1D">
                <w:rPr>
                  <w:rStyle w:val="Hyperlink"/>
                </w:rPr>
                <w:t>content/</w:t>
              </w:r>
              <w:r w:rsidR="00ED63F6" w:rsidRPr="00905271">
                <w:rPr>
                  <w:rStyle w:val="Hyperlink"/>
                  <w:lang w:val="hr-HR" w:eastAsia="en-US"/>
                </w:rPr>
                <w:t>HR/TXT/PDF/?uri=OJ:L:2014:187:FULL&amp;from=EN</w:t>
              </w:r>
            </w:hyperlink>
          </w:p>
          <w:p w14:paraId="59013AD0" w14:textId="54F9E37D" w:rsidR="00B50A1D" w:rsidRDefault="00F06D3F" w:rsidP="00B72021">
            <w:pPr>
              <w:shd w:val="clear" w:color="auto" w:fill="FFFFFF"/>
              <w:spacing w:before="100" w:beforeAutospacing="1" w:after="100" w:afterAutospacing="1"/>
              <w:rPr>
                <w:lang w:eastAsia="lt-LT"/>
              </w:rPr>
            </w:pPr>
            <w:hyperlink r:id="rId9" w:history="1">
              <w:r w:rsidR="00B50A1D" w:rsidRPr="005C7A26">
                <w:rPr>
                  <w:rStyle w:val="Hyperlink"/>
                  <w:lang w:eastAsia="lt-LT"/>
                </w:rPr>
                <w:t>https://eur-lex.europa.eu/legal-content/HR/TXT/PDF/?uri=CELEX:32017R1084&amp;from=HR</w:t>
              </w:r>
            </w:hyperlink>
            <w:r w:rsidR="00E652F4">
              <w:rPr>
                <w:lang w:eastAsia="lt-LT"/>
              </w:rPr>
              <w:t xml:space="preserve"> (izmjena)</w:t>
            </w:r>
          </w:p>
          <w:p w14:paraId="14C3FFDF" w14:textId="4B01F4BB" w:rsidR="00ED63F6" w:rsidRDefault="00F06D3F" w:rsidP="00ED63F6">
            <w:pPr>
              <w:pStyle w:val="NormalWeb"/>
              <w:shd w:val="clear" w:color="auto" w:fill="FFFFFF"/>
              <w:spacing w:before="0" w:beforeAutospacing="0" w:after="0" w:afterAutospacing="0"/>
              <w:rPr>
                <w:rStyle w:val="Hyperlink"/>
                <w:lang w:eastAsia="en-US"/>
              </w:rPr>
            </w:pPr>
            <w:hyperlink r:id="rId10" w:history="1">
              <w:r w:rsidR="00B50A1D" w:rsidRPr="005C7A26">
                <w:rPr>
                  <w:rStyle w:val="Hyperlink"/>
                  <w:lang w:eastAsia="en-US"/>
                </w:rPr>
                <w:t>https://eur-lex.europa.eu/legal-content/HR/TXT/PDF/?uri=CELEX:32020R0972&amp;from=hr</w:t>
              </w:r>
            </w:hyperlink>
            <w:r w:rsidR="00E652F4">
              <w:rPr>
                <w:rStyle w:val="Hyperlink"/>
                <w:lang w:eastAsia="en-US"/>
              </w:rPr>
              <w:t xml:space="preserve"> </w:t>
            </w:r>
            <w:r w:rsidR="00E652F4" w:rsidRPr="00E652F4">
              <w:rPr>
                <w:rStyle w:val="Hyperlink"/>
                <w:color w:val="auto"/>
                <w:u w:val="none"/>
                <w:lang w:eastAsia="en-US"/>
              </w:rPr>
              <w:t>(izmjena)</w:t>
            </w:r>
          </w:p>
          <w:p w14:paraId="651A5FD3" w14:textId="77777777" w:rsidR="00E652F4" w:rsidRDefault="00E652F4" w:rsidP="00ED63F6">
            <w:pPr>
              <w:pStyle w:val="NormalWeb"/>
              <w:shd w:val="clear" w:color="auto" w:fill="FFFFFF"/>
              <w:spacing w:before="0" w:beforeAutospacing="0" w:after="0" w:afterAutospacing="0"/>
              <w:rPr>
                <w:rStyle w:val="Hyperlink"/>
                <w:lang w:eastAsia="en-US"/>
              </w:rPr>
            </w:pPr>
          </w:p>
          <w:p w14:paraId="3FBB35FC" w14:textId="1655CB32" w:rsidR="00E652F4" w:rsidRDefault="00F06D3F" w:rsidP="00ED63F6">
            <w:pPr>
              <w:pStyle w:val="NormalWeb"/>
              <w:shd w:val="clear" w:color="auto" w:fill="FFFFFF"/>
              <w:spacing w:before="0" w:beforeAutospacing="0" w:after="0" w:afterAutospacing="0"/>
              <w:rPr>
                <w:lang w:eastAsia="en-US"/>
              </w:rPr>
            </w:pPr>
            <w:hyperlink r:id="rId11" w:history="1">
              <w:r w:rsidR="00E652F4" w:rsidRPr="005C7A26">
                <w:rPr>
                  <w:rStyle w:val="Hyperlink"/>
                  <w:lang w:eastAsia="en-US"/>
                </w:rPr>
                <w:t>https://eur-lex.europa.eu/legal-content/HR/TXT/PDF/?uri=CELEX:32021R1237&amp;from=EN</w:t>
              </w:r>
            </w:hyperlink>
            <w:r w:rsidR="00E652F4">
              <w:rPr>
                <w:lang w:eastAsia="en-US"/>
              </w:rPr>
              <w:t xml:space="preserve"> (izmjena)</w:t>
            </w:r>
          </w:p>
          <w:p w14:paraId="74610012" w14:textId="77777777" w:rsidR="00E652F4" w:rsidRDefault="00E652F4" w:rsidP="00ED63F6">
            <w:pPr>
              <w:pStyle w:val="NormalWeb"/>
              <w:shd w:val="clear" w:color="auto" w:fill="FFFFFF"/>
              <w:spacing w:before="0" w:beforeAutospacing="0" w:after="0" w:afterAutospacing="0"/>
              <w:rPr>
                <w:lang w:eastAsia="en-US"/>
              </w:rPr>
            </w:pPr>
          </w:p>
          <w:p w14:paraId="25DCB390" w14:textId="6B4D97F4" w:rsidR="00E652F4" w:rsidRDefault="00F06D3F" w:rsidP="00ED63F6">
            <w:pPr>
              <w:pStyle w:val="NormalWeb"/>
              <w:shd w:val="clear" w:color="auto" w:fill="FFFFFF"/>
              <w:spacing w:before="0" w:beforeAutospacing="0" w:after="0" w:afterAutospacing="0"/>
              <w:rPr>
                <w:lang w:eastAsia="en-US"/>
              </w:rPr>
            </w:pPr>
            <w:hyperlink r:id="rId12" w:history="1">
              <w:r w:rsidR="00E652F4" w:rsidRPr="005C7A26">
                <w:rPr>
                  <w:rStyle w:val="Hyperlink"/>
                  <w:lang w:eastAsia="en-US"/>
                </w:rPr>
                <w:t>https://eur-lex.europa.eu/legal-content/HR/TXT/PDF/?uri=CELEX:02014R0651-20210801&amp;from=EN</w:t>
              </w:r>
            </w:hyperlink>
            <w:r w:rsidR="00E652F4">
              <w:rPr>
                <w:lang w:eastAsia="en-US"/>
              </w:rPr>
              <w:t xml:space="preserve"> (konsolidirani tekst Uredbe br. 651/2014 sa izmjenama iz Uredbi br. 1084/2017, 972/2020 i 1237/2021)</w:t>
            </w:r>
          </w:p>
          <w:p w14:paraId="2C9B268D" w14:textId="4FAF5B90" w:rsidR="00B50A1D" w:rsidRPr="00905271" w:rsidRDefault="00B50A1D" w:rsidP="00ED63F6">
            <w:pPr>
              <w:pStyle w:val="NormalWeb"/>
              <w:shd w:val="clear" w:color="auto" w:fill="FFFFFF"/>
              <w:spacing w:before="0" w:beforeAutospacing="0" w:after="0" w:afterAutospacing="0"/>
              <w:rPr>
                <w:color w:val="232323"/>
              </w:rPr>
            </w:pPr>
          </w:p>
          <w:p w14:paraId="3E3BD5B8" w14:textId="77777777" w:rsidR="00ED63F6" w:rsidRPr="00905271" w:rsidRDefault="00ED63F6" w:rsidP="00ED63F6">
            <w:pPr>
              <w:pStyle w:val="NormalWeb"/>
              <w:shd w:val="clear" w:color="auto" w:fill="FFFFFF"/>
              <w:spacing w:before="0" w:beforeAutospacing="0" w:after="0" w:afterAutospacing="0"/>
              <w:rPr>
                <w:color w:val="232323"/>
              </w:rPr>
            </w:pPr>
            <w:r w:rsidRPr="00905271">
              <w:rPr>
                <w:b/>
                <w:color w:val="232323"/>
              </w:rPr>
              <w:t>-</w:t>
            </w:r>
            <w:r w:rsidRPr="00905271">
              <w:rPr>
                <w:rStyle w:val="apple-converted-space"/>
                <w:b/>
                <w:color w:val="232323"/>
              </w:rPr>
              <w:t> </w:t>
            </w:r>
            <w:r w:rsidRPr="00905271">
              <w:rPr>
                <w:rStyle w:val="Strong"/>
                <w:b w:val="0"/>
                <w:color w:val="232323"/>
              </w:rPr>
              <w:t>Uredba Komisije (EU) br. 1407/2013 od 18. prosinca 2013. o primjeni članaka 107. i 108. Ugovora u funkcioniranju Europske unije na de minimis potpore</w:t>
            </w:r>
            <w:r w:rsidRPr="00905271">
              <w:rPr>
                <w:rStyle w:val="apple-converted-space"/>
                <w:b/>
                <w:bCs/>
                <w:color w:val="232323"/>
              </w:rPr>
              <w:t> </w:t>
            </w:r>
            <w:r w:rsidRPr="00905271">
              <w:rPr>
                <w:color w:val="232323"/>
              </w:rPr>
              <w:t>(Službeni list Europske unije L 352, 24.12.2013.)</w:t>
            </w:r>
          </w:p>
          <w:p w14:paraId="1882C72B" w14:textId="77777777" w:rsidR="00ED63F6" w:rsidRPr="00905271" w:rsidRDefault="00F06D3F" w:rsidP="00ED63F6">
            <w:pPr>
              <w:pStyle w:val="NormalWeb"/>
              <w:shd w:val="clear" w:color="auto" w:fill="FFFFFF"/>
              <w:spacing w:before="0" w:beforeAutospacing="0" w:after="0" w:afterAutospacing="0"/>
              <w:rPr>
                <w:rStyle w:val="Hyperlink"/>
                <w:lang w:val="hr-HR" w:eastAsia="en-US"/>
              </w:rPr>
            </w:pPr>
            <w:hyperlink r:id="rId13" w:history="1">
              <w:r w:rsidR="00ED63F6" w:rsidRPr="00905271">
                <w:rPr>
                  <w:rStyle w:val="Hyperlink"/>
                  <w:lang w:val="hr-HR" w:eastAsia="en-US"/>
                </w:rPr>
                <w:t>http://eur-lex.europa.eu/legal-content/HR/TXT/PDF/?uri=OJ:L:2013:352:FULL&amp;from=EN</w:t>
              </w:r>
            </w:hyperlink>
          </w:p>
          <w:p w14:paraId="6C1F6F7F" w14:textId="77777777" w:rsidR="00ED63F6" w:rsidRPr="00905271" w:rsidRDefault="00ED63F6" w:rsidP="00ED63F6">
            <w:pPr>
              <w:pStyle w:val="NormalWeb"/>
              <w:shd w:val="clear" w:color="auto" w:fill="FFFFFF"/>
              <w:spacing w:before="0" w:beforeAutospacing="0" w:after="0" w:afterAutospacing="0"/>
              <w:rPr>
                <w:rStyle w:val="Hyperlink"/>
                <w:lang w:val="hr-HR" w:eastAsia="en-US"/>
              </w:rPr>
            </w:pPr>
          </w:p>
          <w:p w14:paraId="0D0541CB" w14:textId="77777777" w:rsidR="00ED63F6" w:rsidRPr="00905271" w:rsidRDefault="00ED63F6" w:rsidP="00ED63F6">
            <w:pPr>
              <w:pStyle w:val="NormalWeb"/>
              <w:shd w:val="clear" w:color="auto" w:fill="FFFFFF"/>
              <w:spacing w:before="0" w:beforeAutospacing="0" w:after="0" w:afterAutospacing="0"/>
              <w:rPr>
                <w:color w:val="232323"/>
              </w:rPr>
            </w:pPr>
            <w:r w:rsidRPr="00905271">
              <w:rPr>
                <w:rStyle w:val="Strong"/>
                <w:b w:val="0"/>
                <w:color w:val="232323"/>
              </w:rPr>
              <w:lastRenderedPageBreak/>
              <w:t>- Smjernice o regionalnim potporama 2014.-2020.</w:t>
            </w:r>
            <w:r w:rsidRPr="00905271">
              <w:rPr>
                <w:rStyle w:val="apple-converted-space"/>
                <w:b/>
                <w:color w:val="232323"/>
              </w:rPr>
              <w:t> </w:t>
            </w:r>
            <w:r w:rsidRPr="00905271">
              <w:rPr>
                <w:b/>
                <w:color w:val="232323"/>
              </w:rPr>
              <w:t>(</w:t>
            </w:r>
            <w:r w:rsidRPr="00905271">
              <w:rPr>
                <w:color w:val="232323"/>
              </w:rPr>
              <w:t>Službeni list Europske unije C 209, 23.7.2013.)</w:t>
            </w:r>
          </w:p>
          <w:p w14:paraId="1DB9B688" w14:textId="77777777" w:rsidR="00ED63F6" w:rsidRPr="00905271" w:rsidRDefault="00F06D3F" w:rsidP="00ED63F6">
            <w:pPr>
              <w:pStyle w:val="NormalWeb"/>
              <w:shd w:val="clear" w:color="auto" w:fill="FFFFFF"/>
              <w:spacing w:before="0" w:beforeAutospacing="0" w:after="0" w:afterAutospacing="0"/>
              <w:rPr>
                <w:color w:val="232323"/>
              </w:rPr>
            </w:pPr>
            <w:hyperlink r:id="rId14" w:history="1">
              <w:r w:rsidR="00ED63F6" w:rsidRPr="00905271">
                <w:rPr>
                  <w:rStyle w:val="Hyperlink"/>
                  <w:lang w:val="hr-HR" w:eastAsia="en-US"/>
                </w:rPr>
                <w:t>http://eur-lex.europa.eu/LexUriServ/LexUriServ.do?uri=OJ:C:2013:209:0001:0045:EN:PDF</w:t>
              </w:r>
            </w:hyperlink>
            <w:r w:rsidR="00ED63F6" w:rsidRPr="00905271">
              <w:rPr>
                <w:rStyle w:val="apple-converted-space"/>
                <w:color w:val="232323"/>
              </w:rPr>
              <w:t> </w:t>
            </w:r>
            <w:r w:rsidR="00ED63F6" w:rsidRPr="00905271">
              <w:rPr>
                <w:color w:val="232323"/>
              </w:rPr>
              <w:t> (na engleskom jeziku)</w:t>
            </w:r>
          </w:p>
          <w:p w14:paraId="789C3234" w14:textId="77777777" w:rsidR="00436EF9" w:rsidRPr="00905271" w:rsidRDefault="00436EF9" w:rsidP="00ED63F6">
            <w:pPr>
              <w:pStyle w:val="NormalWeb"/>
              <w:shd w:val="clear" w:color="auto" w:fill="FFFFFF"/>
              <w:spacing w:before="0" w:beforeAutospacing="0" w:after="0" w:afterAutospacing="0"/>
              <w:rPr>
                <w:color w:val="232323"/>
              </w:rPr>
            </w:pPr>
          </w:p>
          <w:p w14:paraId="1B3EFAF1" w14:textId="77777777" w:rsidR="00ED63F6" w:rsidRPr="00905271" w:rsidRDefault="00ED63F6" w:rsidP="00ED63F6">
            <w:pPr>
              <w:pStyle w:val="NormalWeb"/>
              <w:shd w:val="clear" w:color="auto" w:fill="FFFFFF"/>
              <w:spacing w:before="0" w:beforeAutospacing="0" w:after="0" w:afterAutospacing="0"/>
              <w:rPr>
                <w:color w:val="232323"/>
              </w:rPr>
            </w:pPr>
            <w:r w:rsidRPr="00905271">
              <w:rPr>
                <w:b/>
                <w:color w:val="232323"/>
              </w:rPr>
              <w:t>-</w:t>
            </w:r>
            <w:r w:rsidRPr="00905271">
              <w:rPr>
                <w:rStyle w:val="apple-converted-space"/>
                <w:b/>
                <w:bCs/>
                <w:color w:val="232323"/>
              </w:rPr>
              <w:t> </w:t>
            </w:r>
            <w:r w:rsidRPr="00905271">
              <w:rPr>
                <w:rStyle w:val="Strong"/>
                <w:b w:val="0"/>
                <w:color w:val="232323"/>
              </w:rPr>
              <w:t>Okvir  za državne potpore za istraživanje i razvoj i inovacije</w:t>
            </w:r>
            <w:r w:rsidRPr="00905271">
              <w:rPr>
                <w:rStyle w:val="apple-converted-space"/>
                <w:b/>
                <w:color w:val="232323"/>
              </w:rPr>
              <w:t> </w:t>
            </w:r>
            <w:r w:rsidRPr="00905271">
              <w:rPr>
                <w:color w:val="232323"/>
              </w:rPr>
              <w:t>(Službeni list Europske unije C 198, 27.6.2014.)</w:t>
            </w:r>
          </w:p>
          <w:p w14:paraId="5A2DA160" w14:textId="77777777" w:rsidR="00ED63F6" w:rsidRPr="00905271" w:rsidRDefault="00F06D3F" w:rsidP="00ED63F6">
            <w:pPr>
              <w:pStyle w:val="NormalWeb"/>
              <w:shd w:val="clear" w:color="auto" w:fill="FFFFFF"/>
              <w:spacing w:before="0" w:beforeAutospacing="0" w:after="0" w:afterAutospacing="0"/>
              <w:rPr>
                <w:rStyle w:val="Hyperlink"/>
                <w:lang w:val="hr-HR" w:eastAsia="en-US"/>
              </w:rPr>
            </w:pPr>
            <w:hyperlink r:id="rId15" w:history="1">
              <w:r w:rsidR="00ED63F6" w:rsidRPr="00905271">
                <w:rPr>
                  <w:rStyle w:val="Hyperlink"/>
                  <w:lang w:val="hr-HR" w:eastAsia="en-US"/>
                </w:rPr>
                <w:t>http://eur-lex.europa.eu/legal-content/HR/TXT/PDF/?uri=OJ:C:2014:198:FULL&amp;from=EN</w:t>
              </w:r>
            </w:hyperlink>
          </w:p>
          <w:p w14:paraId="2394D810" w14:textId="77777777" w:rsidR="00436EF9" w:rsidRPr="00905271" w:rsidRDefault="00436EF9" w:rsidP="00ED63F6">
            <w:pPr>
              <w:pStyle w:val="NormalWeb"/>
              <w:shd w:val="clear" w:color="auto" w:fill="FFFFFF"/>
              <w:spacing w:before="0" w:beforeAutospacing="0" w:after="0" w:afterAutospacing="0"/>
              <w:rPr>
                <w:rStyle w:val="Hyperlink"/>
                <w:lang w:val="hr-HR" w:eastAsia="en-US"/>
              </w:rPr>
            </w:pPr>
          </w:p>
          <w:p w14:paraId="20319EC7" w14:textId="77777777" w:rsidR="00436EF9" w:rsidRPr="00905271" w:rsidRDefault="00ED63F6" w:rsidP="00ED63F6">
            <w:pPr>
              <w:pStyle w:val="NormalWeb"/>
              <w:shd w:val="clear" w:color="auto" w:fill="FFFFFF"/>
              <w:spacing w:before="0" w:beforeAutospacing="0" w:after="0" w:afterAutospacing="0"/>
              <w:rPr>
                <w:color w:val="232323"/>
              </w:rPr>
            </w:pPr>
            <w:r w:rsidRPr="00905271">
              <w:rPr>
                <w:rStyle w:val="Strong"/>
                <w:b w:val="0"/>
                <w:color w:val="232323"/>
              </w:rPr>
              <w:t>- Smjernice za državne potpore za zaštitu okoliša i energiju za razdoblje 2014.-2020.</w:t>
            </w:r>
            <w:r w:rsidRPr="00905271">
              <w:rPr>
                <w:rStyle w:val="apple-converted-space"/>
                <w:color w:val="232323"/>
              </w:rPr>
              <w:t> </w:t>
            </w:r>
            <w:r w:rsidRPr="00905271">
              <w:rPr>
                <w:color w:val="232323"/>
              </w:rPr>
              <w:t>(Službeni list Europske unije C 200, 28.6.2014.)</w:t>
            </w:r>
          </w:p>
          <w:p w14:paraId="2AA4FE47" w14:textId="77777777" w:rsidR="00ED63F6" w:rsidRPr="00905271" w:rsidRDefault="00F06D3F" w:rsidP="00ED63F6">
            <w:pPr>
              <w:pStyle w:val="NormalWeb"/>
              <w:shd w:val="clear" w:color="auto" w:fill="FFFFFF"/>
              <w:spacing w:before="0" w:beforeAutospacing="0" w:after="0" w:afterAutospacing="0"/>
              <w:rPr>
                <w:rStyle w:val="Hyperlink"/>
                <w:lang w:val="hr-HR" w:eastAsia="en-US"/>
              </w:rPr>
            </w:pPr>
            <w:hyperlink r:id="rId16" w:history="1">
              <w:r w:rsidR="00ED63F6" w:rsidRPr="00905271">
                <w:rPr>
                  <w:rStyle w:val="Hyperlink"/>
                  <w:lang w:val="hr-HR" w:eastAsia="en-US"/>
                </w:rPr>
                <w:t>http://eur-lex.europa.eu/legal-content/HR/TXT/PDF/?uri=CELEX:52014XC0628(01)&amp;from=EN</w:t>
              </w:r>
            </w:hyperlink>
          </w:p>
          <w:p w14:paraId="16BBB64C" w14:textId="77777777" w:rsidR="00436EF9" w:rsidRPr="00905271" w:rsidRDefault="00436EF9" w:rsidP="00ED63F6">
            <w:pPr>
              <w:pStyle w:val="NormalWeb"/>
              <w:shd w:val="clear" w:color="auto" w:fill="FFFFFF"/>
              <w:spacing w:before="0" w:beforeAutospacing="0" w:after="0" w:afterAutospacing="0"/>
              <w:rPr>
                <w:rStyle w:val="Hyperlink"/>
                <w:lang w:val="hr-HR" w:eastAsia="en-US"/>
              </w:rPr>
            </w:pPr>
          </w:p>
          <w:p w14:paraId="3A4D468B" w14:textId="77777777" w:rsidR="00ED63F6" w:rsidRPr="00905271" w:rsidRDefault="00ED63F6" w:rsidP="00ED63F6">
            <w:pPr>
              <w:pStyle w:val="NormalWeb"/>
              <w:shd w:val="clear" w:color="auto" w:fill="FFFFFF"/>
              <w:spacing w:before="0" w:beforeAutospacing="0" w:after="0" w:afterAutospacing="0"/>
              <w:rPr>
                <w:color w:val="232323"/>
              </w:rPr>
            </w:pPr>
            <w:r w:rsidRPr="00905271">
              <w:rPr>
                <w:rStyle w:val="Strong"/>
                <w:b w:val="0"/>
                <w:color w:val="232323"/>
              </w:rPr>
              <w:t>- Smjernice za primjenu pravila o državnim potporama na brzi razvoj širokopojasnih mreža</w:t>
            </w:r>
            <w:r w:rsidRPr="00905271">
              <w:rPr>
                <w:rStyle w:val="apple-converted-space"/>
                <w:color w:val="232323"/>
              </w:rPr>
              <w:t> </w:t>
            </w:r>
            <w:r w:rsidRPr="00905271">
              <w:rPr>
                <w:color w:val="232323"/>
              </w:rPr>
              <w:t>(Službeni list Europske unije C 25, 26.1.2013.)</w:t>
            </w:r>
          </w:p>
          <w:p w14:paraId="41982088" w14:textId="77777777" w:rsidR="00ED63F6" w:rsidRPr="00905271" w:rsidRDefault="00F06D3F" w:rsidP="00ED63F6">
            <w:pPr>
              <w:pStyle w:val="NormalWeb"/>
              <w:shd w:val="clear" w:color="auto" w:fill="FFFFFF"/>
              <w:spacing w:before="0" w:beforeAutospacing="0" w:after="0" w:afterAutospacing="0"/>
              <w:rPr>
                <w:color w:val="232323"/>
              </w:rPr>
            </w:pPr>
            <w:hyperlink r:id="rId17" w:history="1">
              <w:r w:rsidR="00ED63F6" w:rsidRPr="00905271">
                <w:rPr>
                  <w:rStyle w:val="Hyperlink"/>
                  <w:lang w:val="hr-HR" w:eastAsia="en-US"/>
                </w:rPr>
                <w:t>http://eur-lex.europa.eu/LexUriServ/LexUriServ.do?uri=OJ:C:2013:025:0001:0026:EN:PDF</w:t>
              </w:r>
            </w:hyperlink>
            <w:r w:rsidR="00ED63F6" w:rsidRPr="00905271">
              <w:rPr>
                <w:rStyle w:val="apple-converted-space"/>
                <w:color w:val="232323"/>
              </w:rPr>
              <w:t> </w:t>
            </w:r>
            <w:r w:rsidR="00ED63F6" w:rsidRPr="00905271">
              <w:rPr>
                <w:color w:val="232323"/>
              </w:rPr>
              <w:t> (na engleskom jeziku)</w:t>
            </w:r>
          </w:p>
          <w:p w14:paraId="0424D9AD" w14:textId="77777777" w:rsidR="00436EF9" w:rsidRPr="00905271" w:rsidRDefault="00436EF9" w:rsidP="00ED63F6">
            <w:pPr>
              <w:pStyle w:val="NormalWeb"/>
              <w:shd w:val="clear" w:color="auto" w:fill="FFFFFF"/>
              <w:spacing w:before="0" w:beforeAutospacing="0" w:after="0" w:afterAutospacing="0"/>
              <w:rPr>
                <w:color w:val="232323"/>
              </w:rPr>
            </w:pPr>
          </w:p>
          <w:p w14:paraId="14BF7447" w14:textId="77777777" w:rsidR="00ED63F6" w:rsidRPr="00905271" w:rsidRDefault="00ED63F6" w:rsidP="00ED63F6">
            <w:pPr>
              <w:pStyle w:val="NormalWeb"/>
              <w:shd w:val="clear" w:color="auto" w:fill="FFFFFF"/>
              <w:spacing w:before="0" w:beforeAutospacing="0" w:after="0" w:afterAutospacing="0"/>
              <w:rPr>
                <w:color w:val="232323"/>
              </w:rPr>
            </w:pPr>
            <w:r w:rsidRPr="00905271">
              <w:rPr>
                <w:rStyle w:val="Strong"/>
                <w:b w:val="0"/>
                <w:color w:val="232323"/>
              </w:rPr>
              <w:t>- Smjernice o državnim potporama za promicanje rizičnih financijskih ulaganja</w:t>
            </w:r>
            <w:r w:rsidRPr="00905271">
              <w:rPr>
                <w:rStyle w:val="apple-converted-space"/>
                <w:color w:val="232323"/>
              </w:rPr>
              <w:t> </w:t>
            </w:r>
            <w:r w:rsidRPr="00905271">
              <w:rPr>
                <w:color w:val="232323"/>
              </w:rPr>
              <w:t>(Službeni list Europske unije C 19, 22.1.2014.)</w:t>
            </w:r>
          </w:p>
          <w:p w14:paraId="0FDC84A3" w14:textId="77777777" w:rsidR="00ED63F6" w:rsidRPr="00905271" w:rsidRDefault="00F06D3F" w:rsidP="00ED63F6">
            <w:pPr>
              <w:pStyle w:val="NormalWeb"/>
              <w:shd w:val="clear" w:color="auto" w:fill="FFFFFF"/>
              <w:spacing w:before="0" w:beforeAutospacing="0" w:after="0" w:afterAutospacing="0"/>
              <w:rPr>
                <w:rStyle w:val="Hyperlink"/>
                <w:lang w:val="hr-HR" w:eastAsia="en-US"/>
              </w:rPr>
            </w:pPr>
            <w:hyperlink r:id="rId18" w:history="1">
              <w:r w:rsidR="00ED63F6" w:rsidRPr="00905271">
                <w:rPr>
                  <w:rStyle w:val="Hyperlink"/>
                  <w:lang w:val="hr-HR" w:eastAsia="en-US"/>
                </w:rPr>
                <w:t>http://eur-lex.europa.eu/legal-content/HR/TXT/PDF/?uri=CELEX:52014XC0122(04)&amp;from=EN</w:t>
              </w:r>
            </w:hyperlink>
          </w:p>
          <w:p w14:paraId="19D92793" w14:textId="77777777" w:rsidR="00436EF9" w:rsidRPr="00905271" w:rsidRDefault="00436EF9" w:rsidP="00ED63F6">
            <w:pPr>
              <w:pStyle w:val="NormalWeb"/>
              <w:shd w:val="clear" w:color="auto" w:fill="FFFFFF"/>
              <w:spacing w:before="0" w:beforeAutospacing="0" w:after="0" w:afterAutospacing="0"/>
              <w:rPr>
                <w:rStyle w:val="Hyperlink"/>
                <w:lang w:val="hr-HR" w:eastAsia="en-US"/>
              </w:rPr>
            </w:pPr>
          </w:p>
          <w:p w14:paraId="3ACFFB62" w14:textId="77777777" w:rsidR="00ED63F6" w:rsidRPr="00905271" w:rsidRDefault="00ED63F6" w:rsidP="00ED63F6">
            <w:pPr>
              <w:pStyle w:val="NormalWeb"/>
              <w:shd w:val="clear" w:color="auto" w:fill="FFFFFF"/>
              <w:spacing w:before="0" w:beforeAutospacing="0" w:after="0" w:afterAutospacing="0"/>
              <w:rPr>
                <w:rStyle w:val="Hyperlink"/>
                <w:lang w:val="hr-HR" w:eastAsia="en-US"/>
              </w:rPr>
            </w:pPr>
            <w:r w:rsidRPr="00905271">
              <w:rPr>
                <w:rStyle w:val="Strong"/>
                <w:b w:val="0"/>
                <w:color w:val="232323"/>
              </w:rPr>
              <w:t>- Smjernice o državnim potporama zračnim lukama i zračnim prijevoznicima</w:t>
            </w:r>
            <w:r w:rsidRPr="00905271">
              <w:rPr>
                <w:rStyle w:val="apple-converted-space"/>
                <w:color w:val="232323"/>
              </w:rPr>
              <w:t> </w:t>
            </w:r>
            <w:r w:rsidRPr="00905271">
              <w:rPr>
                <w:color w:val="232323"/>
              </w:rPr>
              <w:t>(Službeni list Europske unije C 99, 4.4.2014.)</w:t>
            </w:r>
            <w:r w:rsidRPr="00905271">
              <w:rPr>
                <w:color w:val="232323"/>
              </w:rPr>
              <w:br/>
            </w:r>
            <w:hyperlink r:id="rId19" w:history="1">
              <w:r w:rsidRPr="00905271">
                <w:rPr>
                  <w:rStyle w:val="Hyperlink"/>
                  <w:lang w:val="hr-HR" w:eastAsia="en-US"/>
                </w:rPr>
                <w:t>http://eur-lex.europa.eu/legal-content/HR/TXT/PDF/?uri=OJ:C:2014:099:FULL&amp;from=EN</w:t>
              </w:r>
            </w:hyperlink>
          </w:p>
          <w:p w14:paraId="57EBB54B" w14:textId="77777777" w:rsidR="00436EF9" w:rsidRPr="00905271" w:rsidRDefault="00436EF9" w:rsidP="00ED63F6">
            <w:pPr>
              <w:pStyle w:val="NormalWeb"/>
              <w:shd w:val="clear" w:color="auto" w:fill="FFFFFF"/>
              <w:spacing w:before="0" w:beforeAutospacing="0" w:after="0" w:afterAutospacing="0"/>
              <w:rPr>
                <w:color w:val="232323"/>
              </w:rPr>
            </w:pPr>
          </w:p>
          <w:p w14:paraId="0896DE28" w14:textId="77777777" w:rsidR="00ED63F6" w:rsidRPr="00905271" w:rsidRDefault="00ED63F6" w:rsidP="00ED63F6">
            <w:pPr>
              <w:pStyle w:val="NormalWeb"/>
              <w:shd w:val="clear" w:color="auto" w:fill="FFFFFF"/>
              <w:spacing w:before="0" w:beforeAutospacing="0" w:after="0" w:afterAutospacing="0"/>
              <w:rPr>
                <w:color w:val="232323"/>
              </w:rPr>
            </w:pPr>
            <w:r w:rsidRPr="00905271">
              <w:rPr>
                <w:rStyle w:val="Strong"/>
                <w:b w:val="0"/>
                <w:color w:val="232323"/>
              </w:rPr>
              <w:t>- Komunikacija Komisije o državnoj potpori za filmove i ostala audiovizualna djela</w:t>
            </w:r>
            <w:r w:rsidRPr="00905271">
              <w:rPr>
                <w:rStyle w:val="apple-converted-space"/>
                <w:color w:val="232323"/>
              </w:rPr>
              <w:t> </w:t>
            </w:r>
            <w:r w:rsidRPr="00905271">
              <w:rPr>
                <w:color w:val="232323"/>
              </w:rPr>
              <w:t>(Službeni list Europske unije C 332, 15.11.2013.)</w:t>
            </w:r>
          </w:p>
          <w:p w14:paraId="1ED56B31" w14:textId="77777777" w:rsidR="00ED63F6" w:rsidRPr="00905271" w:rsidRDefault="00F06D3F" w:rsidP="00ED63F6">
            <w:pPr>
              <w:pStyle w:val="NormalWeb"/>
              <w:shd w:val="clear" w:color="auto" w:fill="FFFFFF"/>
              <w:spacing w:before="0" w:beforeAutospacing="0" w:after="0" w:afterAutospacing="0"/>
              <w:rPr>
                <w:rStyle w:val="Hyperlink"/>
                <w:lang w:val="hr-HR" w:eastAsia="en-US"/>
              </w:rPr>
            </w:pPr>
            <w:hyperlink r:id="rId20" w:history="1">
              <w:r w:rsidR="00ED63F6" w:rsidRPr="00905271">
                <w:rPr>
                  <w:rStyle w:val="Hyperlink"/>
                  <w:lang w:val="hr-HR" w:eastAsia="en-US"/>
                </w:rPr>
                <w:t>http://eur-lex.europa.eu/LexUriServ/LexUriServ.do?uri=OJ:C:2013:332:0001:0011:HR:PDF</w:t>
              </w:r>
            </w:hyperlink>
          </w:p>
          <w:p w14:paraId="7C7DF54A" w14:textId="77777777" w:rsidR="00436EF9" w:rsidRPr="00905271" w:rsidRDefault="00436EF9" w:rsidP="00ED63F6">
            <w:pPr>
              <w:pStyle w:val="NormalWeb"/>
              <w:shd w:val="clear" w:color="auto" w:fill="FFFFFF"/>
              <w:spacing w:before="0" w:beforeAutospacing="0" w:after="0" w:afterAutospacing="0"/>
              <w:rPr>
                <w:rStyle w:val="Hyperlink"/>
                <w:lang w:val="hr-HR" w:eastAsia="en-US"/>
              </w:rPr>
            </w:pPr>
          </w:p>
          <w:p w14:paraId="07380475" w14:textId="07DB765F" w:rsidR="00ED63F6" w:rsidRDefault="00ED63F6" w:rsidP="00ED63F6">
            <w:pPr>
              <w:pStyle w:val="NormalWeb"/>
              <w:shd w:val="clear" w:color="auto" w:fill="FFFFFF"/>
              <w:spacing w:before="0" w:beforeAutospacing="0" w:after="0" w:afterAutospacing="0"/>
              <w:rPr>
                <w:color w:val="232323"/>
              </w:rPr>
            </w:pPr>
            <w:r w:rsidRPr="00905271">
              <w:rPr>
                <w:rStyle w:val="Strong"/>
                <w:b w:val="0"/>
                <w:color w:val="232323"/>
              </w:rPr>
              <w:t>- Priopćenje Komisije o primjeni pravila Europske unije o državnim potporama na naknadu za pružanje usluga od općeg gospodarskog interesa</w:t>
            </w:r>
            <w:r w:rsidRPr="00905271">
              <w:rPr>
                <w:rStyle w:val="apple-converted-space"/>
                <w:color w:val="232323"/>
              </w:rPr>
              <w:t> </w:t>
            </w:r>
            <w:r w:rsidRPr="00905271">
              <w:rPr>
                <w:color w:val="232323"/>
              </w:rPr>
              <w:t>(Službeni list Europske unije C 8, 11.1.2012.)</w:t>
            </w:r>
            <w:r w:rsidRPr="00905271">
              <w:rPr>
                <w:rStyle w:val="apple-converted-space"/>
                <w:color w:val="232323"/>
              </w:rPr>
              <w:t> </w:t>
            </w:r>
            <w:r w:rsidRPr="00905271">
              <w:rPr>
                <w:color w:val="232323"/>
              </w:rPr>
              <w:br/>
            </w:r>
            <w:hyperlink r:id="rId21" w:history="1">
              <w:r w:rsidRPr="00905271">
                <w:rPr>
                  <w:rStyle w:val="Hyperlink"/>
                  <w:lang w:val="hr-HR" w:eastAsia="en-US"/>
                </w:rPr>
                <w:t>http://eur-lex.europa.eu/legal-content/EN/TXT/PDF/?uri=CELEX:52012XC0111(02)&amp;from=EN</w:t>
              </w:r>
            </w:hyperlink>
            <w:r w:rsidRPr="00905271">
              <w:rPr>
                <w:rStyle w:val="Hyperlink"/>
                <w:lang w:val="hr-HR" w:eastAsia="en-US"/>
              </w:rPr>
              <w:t>  </w:t>
            </w:r>
            <w:r w:rsidRPr="00905271">
              <w:rPr>
                <w:color w:val="232323"/>
              </w:rPr>
              <w:t>(na engleskom jeziku)</w:t>
            </w:r>
          </w:p>
          <w:p w14:paraId="0958DE7A" w14:textId="77777777" w:rsidR="00D81D82" w:rsidRPr="00905271" w:rsidRDefault="00D81D82" w:rsidP="00ED63F6">
            <w:pPr>
              <w:pStyle w:val="NormalWeb"/>
              <w:shd w:val="clear" w:color="auto" w:fill="FFFFFF"/>
              <w:spacing w:before="0" w:beforeAutospacing="0" w:after="0" w:afterAutospacing="0"/>
              <w:rPr>
                <w:color w:val="232323"/>
              </w:rPr>
            </w:pPr>
          </w:p>
          <w:p w14:paraId="0B0FB7A0" w14:textId="77777777" w:rsidR="00ED63F6" w:rsidRPr="00905271" w:rsidRDefault="00ED63F6" w:rsidP="00ED63F6">
            <w:pPr>
              <w:pStyle w:val="NormalWeb"/>
              <w:shd w:val="clear" w:color="auto" w:fill="FFFFFF"/>
              <w:spacing w:before="0" w:beforeAutospacing="0" w:after="0" w:afterAutospacing="0"/>
              <w:rPr>
                <w:color w:val="232323"/>
              </w:rPr>
            </w:pPr>
            <w:r w:rsidRPr="00905271">
              <w:rPr>
                <w:rStyle w:val="Strong"/>
                <w:b w:val="0"/>
                <w:color w:val="232323"/>
              </w:rPr>
              <w:t>- Odluka Komisije od 20. prosinca 2011. o primjeni članka 106. stavka 2. Ugovora o funkcioniranju Europske unije na državne potpore u obliku naknade za pružanje javnih usluga koje se dodjeljuju određenim poduzetnicima kojima je povjereno obavljanje usluga od općeg gospodarskog interesa</w:t>
            </w:r>
            <w:r w:rsidRPr="00905271">
              <w:rPr>
                <w:rStyle w:val="apple-converted-space"/>
                <w:bCs/>
                <w:color w:val="232323"/>
              </w:rPr>
              <w:t> </w:t>
            </w:r>
            <w:r w:rsidRPr="00905271">
              <w:rPr>
                <w:color w:val="232323"/>
              </w:rPr>
              <w:t>(Službeni list Europske unije L 7, 11.1.2012.)</w:t>
            </w:r>
          </w:p>
          <w:p w14:paraId="750434A9" w14:textId="77777777" w:rsidR="00ED63F6" w:rsidRPr="00905271" w:rsidRDefault="00F06D3F" w:rsidP="00ED63F6">
            <w:pPr>
              <w:pStyle w:val="NormalWeb"/>
              <w:shd w:val="clear" w:color="auto" w:fill="FFFFFF"/>
              <w:spacing w:before="0" w:beforeAutospacing="0" w:after="0" w:afterAutospacing="0"/>
              <w:rPr>
                <w:color w:val="232323"/>
              </w:rPr>
            </w:pPr>
            <w:hyperlink r:id="rId22" w:history="1">
              <w:r w:rsidR="00ED63F6" w:rsidRPr="00905271">
                <w:rPr>
                  <w:rStyle w:val="Hyperlink"/>
                  <w:lang w:val="hr-HR" w:eastAsia="en-US"/>
                </w:rPr>
                <w:t>http://eur-lex.europa.eu/legal-content/HR/TXT/PDF/?uri=CELEX:32012D0021&amp;from=EN</w:t>
              </w:r>
            </w:hyperlink>
            <w:r w:rsidR="00ED63F6" w:rsidRPr="00905271">
              <w:rPr>
                <w:rStyle w:val="apple-converted-space"/>
                <w:color w:val="232323"/>
              </w:rPr>
              <w:t> </w:t>
            </w:r>
            <w:r w:rsidR="00ED63F6" w:rsidRPr="00905271">
              <w:rPr>
                <w:color w:val="232323"/>
              </w:rPr>
              <w:br/>
            </w:r>
            <w:r w:rsidR="00ED63F6" w:rsidRPr="00905271">
              <w:rPr>
                <w:color w:val="232323"/>
              </w:rPr>
              <w:br/>
            </w:r>
            <w:r w:rsidR="00ED63F6" w:rsidRPr="00905271">
              <w:rPr>
                <w:rStyle w:val="Strong"/>
                <w:b w:val="0"/>
                <w:color w:val="232323"/>
              </w:rPr>
              <w:t>- Okvir Europske unije za državne potpore u obliku naknade za javne usluge</w:t>
            </w:r>
            <w:r w:rsidR="00ED63F6" w:rsidRPr="00905271">
              <w:rPr>
                <w:rStyle w:val="apple-converted-space"/>
                <w:color w:val="232323"/>
              </w:rPr>
              <w:t> </w:t>
            </w:r>
            <w:r w:rsidR="00ED63F6" w:rsidRPr="00905271">
              <w:rPr>
                <w:color w:val="232323"/>
              </w:rPr>
              <w:t>(Službeni list Europske unije C 8, 11.1.2012.)</w:t>
            </w:r>
            <w:r w:rsidR="00ED63F6" w:rsidRPr="00905271">
              <w:rPr>
                <w:rStyle w:val="apple-converted-space"/>
                <w:color w:val="232323"/>
              </w:rPr>
              <w:t> </w:t>
            </w:r>
            <w:r w:rsidR="00ED63F6" w:rsidRPr="00905271">
              <w:rPr>
                <w:color w:val="232323"/>
              </w:rPr>
              <w:br/>
            </w:r>
            <w:hyperlink r:id="rId23" w:history="1">
              <w:r w:rsidR="00ED63F6" w:rsidRPr="00905271">
                <w:rPr>
                  <w:rStyle w:val="Hyperlink"/>
                  <w:lang w:val="hr-HR" w:eastAsia="en-US"/>
                </w:rPr>
                <w:t>http://eur-lex.europa.eu/legal-content/EN/TXT/PDF/?uri=CELEX:52012XC0111(03)&amp;from=EN</w:t>
              </w:r>
            </w:hyperlink>
            <w:r w:rsidR="00ED63F6" w:rsidRPr="00905271">
              <w:rPr>
                <w:rStyle w:val="apple-converted-space"/>
                <w:color w:val="232323"/>
              </w:rPr>
              <w:t> </w:t>
            </w:r>
            <w:r w:rsidR="00ED63F6" w:rsidRPr="00905271">
              <w:rPr>
                <w:color w:val="232323"/>
              </w:rPr>
              <w:t> (na engleskom jeziku)</w:t>
            </w:r>
            <w:r w:rsidR="00ED63F6" w:rsidRPr="00905271">
              <w:rPr>
                <w:color w:val="232323"/>
              </w:rPr>
              <w:br/>
            </w:r>
            <w:r w:rsidR="00ED63F6" w:rsidRPr="00905271">
              <w:rPr>
                <w:color w:val="232323"/>
              </w:rPr>
              <w:br/>
            </w:r>
            <w:r w:rsidR="00ED63F6" w:rsidRPr="00905271">
              <w:rPr>
                <w:rStyle w:val="Strong"/>
                <w:b w:val="0"/>
                <w:color w:val="232323"/>
              </w:rPr>
              <w:t>- Uredba Komisije (EU) br. 360/2012 od 25. travnja 2012. o primjeni članaka 107. i 108. Ugovora o funkcioniranju Europske unije na potpore de minimis koje se dodjeljuju poduzetnicima koji pružaju usluge od općeg gospodarskog interesa</w:t>
            </w:r>
            <w:r w:rsidR="00ED63F6" w:rsidRPr="00905271">
              <w:rPr>
                <w:rStyle w:val="apple-converted-space"/>
                <w:color w:val="232323"/>
              </w:rPr>
              <w:t> </w:t>
            </w:r>
            <w:r w:rsidR="00ED63F6" w:rsidRPr="00905271">
              <w:rPr>
                <w:color w:val="232323"/>
              </w:rPr>
              <w:t>(Službeni list Europske unije L 114, 26.4.2012.)</w:t>
            </w:r>
            <w:r w:rsidR="00ED63F6" w:rsidRPr="00905271">
              <w:rPr>
                <w:color w:val="232323"/>
              </w:rPr>
              <w:br/>
            </w:r>
            <w:hyperlink r:id="rId24" w:history="1">
              <w:r w:rsidR="00ED63F6" w:rsidRPr="00905271">
                <w:rPr>
                  <w:rStyle w:val="Hyperlink"/>
                  <w:lang w:val="hr-HR" w:eastAsia="en-US"/>
                </w:rPr>
                <w:t>http://eur-lex.europa.eu/legal-content/HR/TXT/PDF/?uri=CELEX:32012R0360&amp;from=EN</w:t>
              </w:r>
            </w:hyperlink>
          </w:p>
          <w:p w14:paraId="3D6538CC" w14:textId="77777777" w:rsidR="00436EF9" w:rsidRPr="00905271" w:rsidRDefault="00436EF9" w:rsidP="00ED63F6">
            <w:pPr>
              <w:pStyle w:val="NormalWeb"/>
              <w:shd w:val="clear" w:color="auto" w:fill="FFFFFF"/>
              <w:spacing w:before="0" w:beforeAutospacing="0" w:after="0" w:afterAutospacing="0"/>
              <w:rPr>
                <w:rStyle w:val="Strong"/>
                <w:color w:val="232323"/>
              </w:rPr>
            </w:pPr>
          </w:p>
          <w:p w14:paraId="6F40B842" w14:textId="77777777" w:rsidR="00ED63F6" w:rsidRPr="00905271" w:rsidRDefault="00ED63F6" w:rsidP="00ED63F6">
            <w:pPr>
              <w:pStyle w:val="NormalWeb"/>
              <w:shd w:val="clear" w:color="auto" w:fill="FFFFFF"/>
              <w:spacing w:before="0" w:beforeAutospacing="0" w:after="0" w:afterAutospacing="0"/>
              <w:rPr>
                <w:color w:val="232323"/>
              </w:rPr>
            </w:pPr>
            <w:r w:rsidRPr="00905271">
              <w:rPr>
                <w:rStyle w:val="Strong"/>
                <w:b w:val="0"/>
                <w:color w:val="232323"/>
              </w:rPr>
              <w:t>Smjernice o državnim potporama za sanaciju i restrukturiranje nefinancijskih poduzetnika u teškoćama</w:t>
            </w:r>
            <w:r w:rsidRPr="00905271">
              <w:rPr>
                <w:rStyle w:val="apple-converted-space"/>
                <w:color w:val="232323"/>
              </w:rPr>
              <w:t> </w:t>
            </w:r>
            <w:r w:rsidRPr="00905271">
              <w:rPr>
                <w:color w:val="232323"/>
              </w:rPr>
              <w:t>(Službeni list Europske unije C 249, 31.7.2014.)</w:t>
            </w:r>
            <w:r w:rsidRPr="00905271">
              <w:rPr>
                <w:color w:val="232323"/>
              </w:rPr>
              <w:br/>
            </w:r>
            <w:hyperlink r:id="rId25" w:history="1">
              <w:r w:rsidRPr="00905271">
                <w:rPr>
                  <w:rStyle w:val="Hyperlink"/>
                  <w:lang w:val="hr-HR" w:eastAsia="en-US"/>
                </w:rPr>
                <w:t>http://eur-lex.europa.eu/legal-content/HR/TXT/PDF/?uri=CELEX:52014XC0731(01)&amp;from=EN</w:t>
              </w:r>
            </w:hyperlink>
          </w:p>
          <w:p w14:paraId="20E9A720" w14:textId="77777777" w:rsidR="00ED63F6" w:rsidRPr="00905271" w:rsidRDefault="00ED63F6" w:rsidP="008D4EED">
            <w:pPr>
              <w:rPr>
                <w:color w:val="232323"/>
              </w:rPr>
            </w:pPr>
          </w:p>
          <w:p w14:paraId="3EBD46E0" w14:textId="77777777" w:rsidR="006309DB" w:rsidRPr="00905271" w:rsidRDefault="00ED63F6" w:rsidP="00180641">
            <w:pPr>
              <w:spacing w:before="60" w:after="60"/>
              <w:jc w:val="both"/>
              <w:rPr>
                <w:color w:val="232323"/>
                <w:u w:val="single"/>
                <w:shd w:val="clear" w:color="auto" w:fill="FFFFFF"/>
              </w:rPr>
            </w:pPr>
            <w:r w:rsidRPr="00905271">
              <w:rPr>
                <w:color w:val="232323"/>
                <w:u w:val="single"/>
                <w:shd w:val="clear" w:color="auto" w:fill="FFFFFF"/>
              </w:rPr>
              <w:t>Propisi Republike Hrvatske kojima se uređuju državne potpore:</w:t>
            </w:r>
          </w:p>
          <w:p w14:paraId="1574A34E" w14:textId="2988EBF6" w:rsidR="00ED63F6" w:rsidRPr="00905271" w:rsidRDefault="00ED63F6" w:rsidP="00B72021">
            <w:pPr>
              <w:numPr>
                <w:ilvl w:val="0"/>
                <w:numId w:val="15"/>
              </w:numPr>
              <w:rPr>
                <w:color w:val="232323"/>
                <w:lang w:val="hr-HR"/>
              </w:rPr>
            </w:pPr>
            <w:r w:rsidRPr="00905271">
              <w:rPr>
                <w:color w:val="232323"/>
              </w:rPr>
              <w:t>Zakon o državnim potporama (Narodne novine, br.</w:t>
            </w:r>
            <w:r w:rsidRPr="00905271">
              <w:rPr>
                <w:rStyle w:val="apple-converted-space"/>
                <w:color w:val="232323"/>
              </w:rPr>
              <w:t> </w:t>
            </w:r>
            <w:r w:rsidR="00436EF9" w:rsidRPr="00905271">
              <w:rPr>
                <w:color w:val="232323"/>
              </w:rPr>
              <w:t>47/14</w:t>
            </w:r>
            <w:r w:rsidR="00840FBB">
              <w:rPr>
                <w:color w:val="232323"/>
              </w:rPr>
              <w:t>, br. 69/17</w:t>
            </w:r>
            <w:r w:rsidRPr="00905271">
              <w:rPr>
                <w:color w:val="232323"/>
              </w:rPr>
              <w:t>)</w:t>
            </w:r>
          </w:p>
          <w:p w14:paraId="36A9AC0C" w14:textId="77777777" w:rsidR="00ED63F6" w:rsidRPr="00905271" w:rsidRDefault="00F06D3F" w:rsidP="00B72021">
            <w:pPr>
              <w:numPr>
                <w:ilvl w:val="0"/>
                <w:numId w:val="15"/>
              </w:numPr>
              <w:rPr>
                <w:color w:val="232323"/>
                <w:lang w:val="hr-HR"/>
              </w:rPr>
            </w:pPr>
            <w:hyperlink r:id="rId26" w:history="1">
              <w:r w:rsidR="00ED63F6" w:rsidRPr="00905271">
                <w:rPr>
                  <w:rStyle w:val="Hyperlink"/>
                  <w:lang w:val="hr-HR"/>
                </w:rPr>
                <w:t>http://narodne-novine.nn.hr/clanci/sluzbeni/2014_04_47_873.html</w:t>
              </w:r>
            </w:hyperlink>
          </w:p>
          <w:p w14:paraId="37E1CF6D" w14:textId="2E91FE45" w:rsidR="00840FBB" w:rsidRPr="00840FBB" w:rsidRDefault="00F06D3F" w:rsidP="00840FBB">
            <w:pPr>
              <w:numPr>
                <w:ilvl w:val="0"/>
                <w:numId w:val="15"/>
              </w:numPr>
              <w:rPr>
                <w:color w:val="232323"/>
              </w:rPr>
            </w:pPr>
            <w:hyperlink r:id="rId27" w:history="1">
              <w:r w:rsidR="00840FBB" w:rsidRPr="005C7A26">
                <w:rPr>
                  <w:rStyle w:val="Hyperlink"/>
                  <w:lang w:val="hr-HR"/>
                </w:rPr>
                <w:t>https://narodne-novine.nn.hr/clanci/sluzbeni/full/2017_07_69_1609.html</w:t>
              </w:r>
            </w:hyperlink>
          </w:p>
          <w:p w14:paraId="1CBDCD0B" w14:textId="529BA3A5" w:rsidR="00ED63F6" w:rsidRPr="00905271" w:rsidRDefault="00ED63F6" w:rsidP="00840FBB">
            <w:pPr>
              <w:numPr>
                <w:ilvl w:val="0"/>
                <w:numId w:val="15"/>
              </w:numPr>
              <w:rPr>
                <w:color w:val="232323"/>
              </w:rPr>
            </w:pPr>
            <w:r w:rsidRPr="00905271">
              <w:rPr>
                <w:color w:val="232323"/>
              </w:rPr>
              <w:t>Pravilnik o dostavi prijedloga državnih potpora i podataka o državnim potporama (Narodne novine, br.</w:t>
            </w:r>
            <w:r w:rsidRPr="00905271">
              <w:rPr>
                <w:rStyle w:val="apple-converted-space"/>
                <w:color w:val="232323"/>
              </w:rPr>
              <w:t> </w:t>
            </w:r>
            <w:r w:rsidR="00436EF9" w:rsidRPr="00905271">
              <w:rPr>
                <w:color w:val="232323"/>
              </w:rPr>
              <w:t>99/13</w:t>
            </w:r>
            <w:r w:rsidRPr="00905271">
              <w:rPr>
                <w:color w:val="232323"/>
              </w:rPr>
              <w:t>)</w:t>
            </w:r>
          </w:p>
          <w:p w14:paraId="0D16BB5D" w14:textId="565B4F51" w:rsidR="00CB730C" w:rsidRPr="00905271" w:rsidRDefault="00F06D3F" w:rsidP="008D4EED">
            <w:pPr>
              <w:spacing w:before="60" w:after="60"/>
              <w:ind w:left="360" w:hanging="360"/>
              <w:jc w:val="both"/>
              <w:rPr>
                <w:i/>
                <w:lang w:val="hr-HR"/>
              </w:rPr>
            </w:pPr>
            <w:hyperlink r:id="rId28" w:history="1">
              <w:r w:rsidR="00ED63F6" w:rsidRPr="00905271">
                <w:rPr>
                  <w:rStyle w:val="Hyperlink"/>
                </w:rPr>
                <w:t>http://narodne-novine.nn.hr/clanci/sluzbeni/2013_07_99_2237.html</w:t>
              </w:r>
            </w:hyperlink>
          </w:p>
        </w:tc>
      </w:tr>
      <w:tr w:rsidR="00CB730C" w:rsidRPr="00905271" w14:paraId="63601414" w14:textId="77777777" w:rsidTr="00D00396">
        <w:tc>
          <w:tcPr>
            <w:tcW w:w="223" w:type="pct"/>
          </w:tcPr>
          <w:p w14:paraId="7C17636C"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284E204B" w14:textId="77777777" w:rsidR="00CB730C" w:rsidRPr="00905271" w:rsidRDefault="000E4E38" w:rsidP="000E4E38">
            <w:pPr>
              <w:pStyle w:val="NormalWeb"/>
              <w:jc w:val="both"/>
              <w:rPr>
                <w:lang w:val="hr-HR"/>
              </w:rPr>
            </w:pPr>
            <w:r w:rsidRPr="00905271">
              <w:rPr>
                <w:lang w:val="hr-HR"/>
              </w:rPr>
              <w:t>Ako je odgovor na</w:t>
            </w:r>
            <w:r w:rsidR="00CB730C" w:rsidRPr="00905271">
              <w:rPr>
                <w:lang w:val="hr-HR"/>
              </w:rPr>
              <w:t xml:space="preserve"> </w:t>
            </w:r>
            <w:r w:rsidRPr="00905271">
              <w:rPr>
                <w:lang w:val="hr-HR"/>
              </w:rPr>
              <w:t>jedno ili nekoliko gornjih</w:t>
            </w:r>
            <w:r w:rsidR="00CB730C" w:rsidRPr="00905271">
              <w:rPr>
                <w:lang w:val="hr-HR"/>
              </w:rPr>
              <w:t xml:space="preserve"> pitanja</w:t>
            </w:r>
            <w:r w:rsidRPr="00905271">
              <w:rPr>
                <w:lang w:val="hr-HR"/>
              </w:rPr>
              <w:t xml:space="preserve"> pod broj</w:t>
            </w:r>
            <w:r w:rsidR="00652C5E" w:rsidRPr="00905271">
              <w:rPr>
                <w:lang w:val="hr-HR"/>
              </w:rPr>
              <w:t>e</w:t>
            </w:r>
            <w:r w:rsidRPr="00905271">
              <w:rPr>
                <w:lang w:val="hr-HR"/>
              </w:rPr>
              <w:t>m 1.-6.</w:t>
            </w:r>
            <w:r w:rsidR="00CB730C" w:rsidRPr="00905271">
              <w:rPr>
                <w:lang w:val="hr-HR"/>
              </w:rPr>
              <w:t xml:space="preserve"> pozitivan, je li u </w:t>
            </w:r>
            <w:r w:rsidR="00652C5E" w:rsidRPr="00905271">
              <w:rPr>
                <w:lang w:val="hr-HR"/>
              </w:rPr>
              <w:t>prijedlogu programa državne potpore/potpore male vrijednosti ili pojedinačnoj državnoj potpori ili potpori male vrijednosti</w:t>
            </w:r>
            <w:r w:rsidR="00CB730C" w:rsidRPr="00905271">
              <w:rPr>
                <w:lang w:val="hr-HR"/>
              </w:rPr>
              <w:t xml:space="preserve"> navedena narav državne potpore (“potpora male vrijednosti</w:t>
            </w:r>
            <w:r w:rsidR="00940E7D" w:rsidRPr="00905271">
              <w:rPr>
                <w:lang w:val="hr-HR"/>
              </w:rPr>
              <w:t xml:space="preserve"> – de </w:t>
            </w:r>
            <w:proofErr w:type="spellStart"/>
            <w:r w:rsidR="00940E7D" w:rsidRPr="00905271">
              <w:rPr>
                <w:lang w:val="hr-HR"/>
              </w:rPr>
              <w:t>minimis</w:t>
            </w:r>
            <w:proofErr w:type="spellEnd"/>
            <w:r w:rsidR="00CB730C" w:rsidRPr="00905271">
              <w:rPr>
                <w:lang w:val="hr-HR"/>
              </w:rPr>
              <w:t>”, GBER</w:t>
            </w:r>
            <w:r w:rsidR="00940E7D" w:rsidRPr="00905271">
              <w:rPr>
                <w:lang w:val="hr-HR"/>
              </w:rPr>
              <w:t xml:space="preserve"> (</w:t>
            </w:r>
            <w:r w:rsidR="00940E7D" w:rsidRPr="00905271">
              <w:rPr>
                <w:i/>
                <w:lang w:val="hr-HR"/>
              </w:rPr>
              <w:t>Opća uredba o skupnim izuzećima)</w:t>
            </w:r>
            <w:r w:rsidRPr="00905271">
              <w:rPr>
                <w:i/>
                <w:lang w:val="hr-HR"/>
              </w:rPr>
              <w:t>, i tome slično)</w:t>
            </w:r>
            <w:r w:rsidR="00CB730C" w:rsidRPr="00905271">
              <w:rPr>
                <w:lang w:val="hr-HR"/>
              </w:rPr>
              <w:t>, metode izračuna i odgovornosti za korisnike bespovratnih sredstava?</w:t>
            </w:r>
          </w:p>
        </w:tc>
        <w:tc>
          <w:tcPr>
            <w:tcW w:w="224" w:type="pct"/>
          </w:tcPr>
          <w:p w14:paraId="5839B30A" w14:textId="77777777" w:rsidR="00CB730C" w:rsidRPr="00905271" w:rsidRDefault="00CB730C" w:rsidP="00CB730C">
            <w:pPr>
              <w:spacing w:before="60" w:after="60"/>
              <w:jc w:val="center"/>
              <w:rPr>
                <w:lang w:val="hr-HR"/>
              </w:rPr>
            </w:pPr>
            <w:r w:rsidRPr="00905271">
              <w:rPr>
                <w:lang w:val="hr-HR"/>
              </w:rPr>
              <w:fldChar w:fldCharType="begin">
                <w:ffData>
                  <w:name w:val="Check7"/>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38965FA6" w14:textId="77777777" w:rsidR="00CB730C" w:rsidRPr="00905271" w:rsidRDefault="00CB730C" w:rsidP="00CB730C">
            <w:pPr>
              <w:spacing w:before="60" w:after="60"/>
              <w:jc w:val="center"/>
              <w:rPr>
                <w:lang w:val="hr-HR"/>
              </w:rPr>
            </w:pPr>
            <w:r w:rsidRPr="00905271">
              <w:rPr>
                <w:lang w:val="hr-HR"/>
              </w:rPr>
              <w:fldChar w:fldCharType="begin">
                <w:ffData>
                  <w:name w:val="Check8"/>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7BE0350C" w14:textId="77777777" w:rsidR="00CB730C" w:rsidRPr="00905271" w:rsidRDefault="00CB730C" w:rsidP="00CB730C">
            <w:pPr>
              <w:spacing w:before="60" w:after="60"/>
              <w:rPr>
                <w:i/>
                <w:lang w:val="hr-HR"/>
              </w:rPr>
            </w:pPr>
          </w:p>
        </w:tc>
      </w:tr>
      <w:tr w:rsidR="00CB730C" w:rsidRPr="00905271" w14:paraId="227BCEF7" w14:textId="77777777" w:rsidTr="00D00396">
        <w:tc>
          <w:tcPr>
            <w:tcW w:w="223" w:type="pct"/>
          </w:tcPr>
          <w:p w14:paraId="77EF33E1" w14:textId="77777777" w:rsidR="00CB730C" w:rsidRPr="00905271" w:rsidRDefault="00CB730C" w:rsidP="00CB730C">
            <w:pPr>
              <w:numPr>
                <w:ilvl w:val="0"/>
                <w:numId w:val="1"/>
              </w:numPr>
              <w:tabs>
                <w:tab w:val="left" w:pos="267"/>
              </w:tabs>
              <w:ind w:left="34" w:hanging="34"/>
              <w:jc w:val="both"/>
              <w:rPr>
                <w:lang w:val="hr-HR"/>
              </w:rPr>
            </w:pPr>
          </w:p>
        </w:tc>
        <w:tc>
          <w:tcPr>
            <w:tcW w:w="1347" w:type="pct"/>
          </w:tcPr>
          <w:p w14:paraId="2EA63F2B" w14:textId="77777777" w:rsidR="00CB730C" w:rsidRPr="00905271" w:rsidRDefault="00CB730C" w:rsidP="00D76EEA">
            <w:pPr>
              <w:pStyle w:val="NormalWeb"/>
              <w:jc w:val="both"/>
              <w:rPr>
                <w:lang w:val="hr-HR"/>
              </w:rPr>
            </w:pPr>
            <w:r w:rsidRPr="00905271">
              <w:rPr>
                <w:lang w:val="hr-HR"/>
              </w:rPr>
              <w:t xml:space="preserve">Ako je odgovor na jedno ili nekoliko gornjih pitanja </w:t>
            </w:r>
            <w:r w:rsidR="000E4E38" w:rsidRPr="00905271">
              <w:rPr>
                <w:lang w:val="hr-HR"/>
              </w:rPr>
              <w:t xml:space="preserve">pod brojem 1.-6. </w:t>
            </w:r>
            <w:r w:rsidRPr="00905271">
              <w:rPr>
                <w:lang w:val="hr-HR"/>
              </w:rPr>
              <w:t xml:space="preserve">negativan, je li u </w:t>
            </w:r>
            <w:r w:rsidR="00652C5E" w:rsidRPr="00905271">
              <w:rPr>
                <w:lang w:val="hr-HR"/>
              </w:rPr>
              <w:t>prijedlogu programa državne potpore/potpore male vrijednosti ili pojedinačnoj državnoj potpori ili potpori male vrijednosti</w:t>
            </w:r>
            <w:r w:rsidRPr="00905271">
              <w:rPr>
                <w:lang w:val="hr-HR"/>
              </w:rPr>
              <w:t xml:space="preserve"> definirano da </w:t>
            </w:r>
            <w:r w:rsidR="000369DD" w:rsidRPr="00905271">
              <w:rPr>
                <w:lang w:val="hr-HR"/>
              </w:rPr>
              <w:t xml:space="preserve">mjera dodjele </w:t>
            </w:r>
            <w:r w:rsidRPr="00905271">
              <w:rPr>
                <w:lang w:val="hr-HR"/>
              </w:rPr>
              <w:t xml:space="preserve">bespovratnih sredstava ne </w:t>
            </w:r>
            <w:r w:rsidR="00D76EEA" w:rsidRPr="00905271">
              <w:rPr>
                <w:lang w:val="hr-HR"/>
              </w:rPr>
              <w:t>predstavlja</w:t>
            </w:r>
            <w:r w:rsidRPr="00905271">
              <w:rPr>
                <w:lang w:val="hr-HR"/>
              </w:rPr>
              <w:t xml:space="preserve"> državnu potporu</w:t>
            </w:r>
            <w:r w:rsidR="00D76EEA" w:rsidRPr="00905271">
              <w:rPr>
                <w:lang w:val="hr-HR"/>
              </w:rPr>
              <w:t>.</w:t>
            </w:r>
            <w:r w:rsidRPr="00905271">
              <w:rPr>
                <w:lang w:val="hr-HR"/>
              </w:rPr>
              <w:t xml:space="preserve"> </w:t>
            </w:r>
          </w:p>
        </w:tc>
        <w:tc>
          <w:tcPr>
            <w:tcW w:w="224" w:type="pct"/>
          </w:tcPr>
          <w:p w14:paraId="3AD214FC" w14:textId="77777777" w:rsidR="00CB730C" w:rsidRPr="00905271" w:rsidRDefault="00CB730C" w:rsidP="00CB730C">
            <w:pPr>
              <w:spacing w:before="60" w:after="60"/>
              <w:jc w:val="center"/>
              <w:rPr>
                <w:lang w:val="hr-HR"/>
              </w:rPr>
            </w:pPr>
            <w:r w:rsidRPr="00905271">
              <w:rPr>
                <w:lang w:val="hr-HR"/>
              </w:rPr>
              <w:fldChar w:fldCharType="begin">
                <w:ffData>
                  <w:name w:val="Check7"/>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24" w:type="pct"/>
          </w:tcPr>
          <w:p w14:paraId="287BE283" w14:textId="77777777" w:rsidR="00CB730C" w:rsidRPr="00905271" w:rsidRDefault="00CB730C" w:rsidP="00CB730C">
            <w:pPr>
              <w:spacing w:before="60" w:after="60"/>
              <w:jc w:val="center"/>
              <w:rPr>
                <w:lang w:val="hr-HR"/>
              </w:rPr>
            </w:pPr>
            <w:r w:rsidRPr="00905271">
              <w:rPr>
                <w:lang w:val="hr-HR"/>
              </w:rPr>
              <w:fldChar w:fldCharType="begin">
                <w:ffData>
                  <w:name w:val="Check8"/>
                  <w:enabled/>
                  <w:calcOnExit w:val="0"/>
                  <w:checkBox>
                    <w:sizeAuto/>
                    <w:default w:val="0"/>
                  </w:checkBox>
                </w:ffData>
              </w:fldChar>
            </w:r>
            <w:r w:rsidRPr="00905271">
              <w:rPr>
                <w:lang w:val="hr-HR"/>
              </w:rPr>
              <w:instrText xml:space="preserve"> FORMCHECKBOX </w:instrText>
            </w:r>
            <w:r w:rsidR="00F06D3F">
              <w:rPr>
                <w:lang w:val="hr-HR"/>
              </w:rPr>
            </w:r>
            <w:r w:rsidR="00F06D3F">
              <w:rPr>
                <w:lang w:val="hr-HR"/>
              </w:rPr>
              <w:fldChar w:fldCharType="separate"/>
            </w:r>
            <w:r w:rsidRPr="00905271">
              <w:rPr>
                <w:lang w:val="hr-HR"/>
              </w:rPr>
              <w:fldChar w:fldCharType="end"/>
            </w:r>
          </w:p>
        </w:tc>
        <w:tc>
          <w:tcPr>
            <w:tcW w:w="2982" w:type="pct"/>
            <w:shd w:val="clear" w:color="auto" w:fill="auto"/>
          </w:tcPr>
          <w:p w14:paraId="33AD82B3" w14:textId="77777777" w:rsidR="00CB730C" w:rsidRPr="00905271" w:rsidRDefault="00CB730C" w:rsidP="00180641">
            <w:pPr>
              <w:spacing w:before="60" w:after="60"/>
              <w:rPr>
                <w:i/>
                <w:lang w:val="hr-HR"/>
              </w:rPr>
            </w:pPr>
          </w:p>
        </w:tc>
      </w:tr>
      <w:tr w:rsidR="00EF471C" w:rsidRPr="00905271" w14:paraId="4018AFD8" w14:textId="77777777" w:rsidTr="00D00396">
        <w:tc>
          <w:tcPr>
            <w:tcW w:w="223" w:type="pct"/>
          </w:tcPr>
          <w:p w14:paraId="02BFAD94" w14:textId="77777777" w:rsidR="00EF471C" w:rsidRPr="00905271" w:rsidRDefault="00EF471C" w:rsidP="00CB730C">
            <w:pPr>
              <w:numPr>
                <w:ilvl w:val="0"/>
                <w:numId w:val="1"/>
              </w:numPr>
              <w:tabs>
                <w:tab w:val="left" w:pos="267"/>
              </w:tabs>
              <w:ind w:left="34" w:hanging="34"/>
              <w:jc w:val="both"/>
              <w:rPr>
                <w:lang w:val="hr-HR"/>
              </w:rPr>
            </w:pPr>
          </w:p>
        </w:tc>
        <w:tc>
          <w:tcPr>
            <w:tcW w:w="1347" w:type="pct"/>
          </w:tcPr>
          <w:p w14:paraId="0E72C40F" w14:textId="77777777" w:rsidR="00EF471C" w:rsidRPr="00905271" w:rsidRDefault="000E4E38" w:rsidP="000E4E38">
            <w:pPr>
              <w:pStyle w:val="NormalWeb"/>
              <w:jc w:val="both"/>
              <w:rPr>
                <w:lang w:val="hr-HR"/>
              </w:rPr>
            </w:pPr>
            <w:r w:rsidRPr="00905271">
              <w:rPr>
                <w:lang w:val="hr-HR"/>
              </w:rPr>
              <w:t xml:space="preserve">Ako je odgovor na jedno ili nekoliko gornjih pitanja pod brojem 1.-6. negativan, molimo navesti adekvatno obrazloženje za isto, odnosno obrazložiti iz kojeg razloga mjera ne predstavlja državnu potporu) </w:t>
            </w:r>
          </w:p>
        </w:tc>
        <w:tc>
          <w:tcPr>
            <w:tcW w:w="224" w:type="pct"/>
          </w:tcPr>
          <w:p w14:paraId="63D83D41" w14:textId="77777777" w:rsidR="00EF471C" w:rsidRPr="00905271" w:rsidRDefault="00EF471C" w:rsidP="00CB730C">
            <w:pPr>
              <w:spacing w:before="60" w:after="60"/>
              <w:jc w:val="center"/>
              <w:rPr>
                <w:lang w:val="hr-HR"/>
              </w:rPr>
            </w:pPr>
          </w:p>
        </w:tc>
        <w:tc>
          <w:tcPr>
            <w:tcW w:w="224" w:type="pct"/>
          </w:tcPr>
          <w:p w14:paraId="79B2D43B" w14:textId="77777777" w:rsidR="00EF471C" w:rsidRPr="00905271" w:rsidRDefault="00EF471C" w:rsidP="00CB730C">
            <w:pPr>
              <w:spacing w:before="60" w:after="60"/>
              <w:jc w:val="center"/>
              <w:rPr>
                <w:lang w:val="hr-HR"/>
              </w:rPr>
            </w:pPr>
          </w:p>
        </w:tc>
        <w:tc>
          <w:tcPr>
            <w:tcW w:w="2982" w:type="pct"/>
            <w:shd w:val="clear" w:color="auto" w:fill="auto"/>
          </w:tcPr>
          <w:p w14:paraId="5C84D1AB" w14:textId="77777777" w:rsidR="00B91835" w:rsidRPr="00905271" w:rsidRDefault="00AF478D" w:rsidP="00AF478D">
            <w:pPr>
              <w:spacing w:before="60" w:after="60"/>
              <w:jc w:val="both"/>
              <w:rPr>
                <w:i/>
                <w:lang w:val="hr-HR"/>
              </w:rPr>
            </w:pPr>
            <w:r w:rsidRPr="00905271">
              <w:rPr>
                <w:i/>
                <w:lang w:val="hr-HR"/>
              </w:rPr>
              <w:t xml:space="preserve">Napomena: </w:t>
            </w:r>
            <w:r w:rsidR="00B91835" w:rsidRPr="00905271">
              <w:rPr>
                <w:i/>
                <w:lang w:val="hr-HR"/>
              </w:rPr>
              <w:t xml:space="preserve">U slučaju nedoumica je li u konkretnom slučaju riječ o državnoj potpori/potpori male vrijednosti ili ne, može se (ne postoji obveza) zatražiti očitovanje od Ministarstva financija, a koje, sukladno članku 5. stavku 2. Zakona o državnim potporama (NN br. 47/14) pruža stručnu pomoć davateljima i korisnicima državnih potpora/potpora male vrijednosti radi ispravne primjene i razumijevanja propisa i pravila o državnim potporama i potpora male vrijednosti te pripreme prijedloga programa državnih potpora i potpora male vrijednosti </w:t>
            </w:r>
            <w:r w:rsidR="00B91835" w:rsidRPr="00905271">
              <w:rPr>
                <w:i/>
                <w:lang w:val="hr-HR"/>
              </w:rPr>
              <w:lastRenderedPageBreak/>
              <w:t>i pojedinačnih državnih potpora i potpora male vrijednosti i akata koji predstavljaju pravnu osnovu za donošenje programa državnih potpora i potpora male vrijednosti.</w:t>
            </w:r>
          </w:p>
          <w:p w14:paraId="6E6C7F3C" w14:textId="77777777" w:rsidR="00AF478D" w:rsidRPr="00905271" w:rsidRDefault="00AF478D" w:rsidP="00AF478D">
            <w:pPr>
              <w:spacing w:before="60" w:after="60"/>
              <w:jc w:val="both"/>
              <w:rPr>
                <w:i/>
                <w:lang w:val="hr-HR"/>
              </w:rPr>
            </w:pPr>
            <w:r w:rsidRPr="00905271">
              <w:rPr>
                <w:i/>
                <w:lang w:val="hr-HR"/>
              </w:rPr>
              <w:t>Ako se za mjeru ocijeni da ista predstavlja državnu potporu, potrebno je izrađeni prijedlog programa/pojedinačne državne potpore dostaviti Ministarstvu financija na mišljenje iz članka 8. stavka 1. Zakona o državnim potporama (NN br. 47/14) (ako je riječ o državnim potporama za koje postoji obveza prijave Europskoj komisiji), ili članku 9. stavku 1. Zakona o državnim potporama (ako je riječ o državnim potporama izuzetim od obveze prijave Europskoj komisiji (npr. državne potpore koje se dodjeljuju u skladu sa Općom uredbom o skupnim izuzećima (GBER))</w:t>
            </w:r>
          </w:p>
          <w:p w14:paraId="535A1323" w14:textId="77777777" w:rsidR="00AF478D" w:rsidRPr="00905271" w:rsidRDefault="00AF478D" w:rsidP="00AF478D">
            <w:pPr>
              <w:spacing w:before="60" w:after="60"/>
              <w:jc w:val="both"/>
              <w:rPr>
                <w:i/>
                <w:lang w:val="hr-HR"/>
              </w:rPr>
            </w:pPr>
            <w:r w:rsidRPr="00905271">
              <w:rPr>
                <w:i/>
                <w:lang w:val="hr-HR"/>
              </w:rPr>
              <w:t xml:space="preserve">Ako se za mjeru ocijeni da predstavlja potporu male vrijednosti takva potpora mora biti usklađena sa važećom </w:t>
            </w:r>
            <w:r w:rsidR="00B91835" w:rsidRPr="00905271">
              <w:rPr>
                <w:i/>
                <w:lang w:val="hr-HR"/>
              </w:rPr>
              <w:t>uredbom Europske unije kojom se uređuje način dodjele potpore male vrijednosti.</w:t>
            </w:r>
          </w:p>
          <w:p w14:paraId="419D06BF" w14:textId="77777777" w:rsidR="00EF471C" w:rsidRPr="00905271" w:rsidDel="000369DD" w:rsidRDefault="00EF471C" w:rsidP="00B91835">
            <w:pPr>
              <w:spacing w:before="60" w:after="60"/>
              <w:jc w:val="both"/>
              <w:rPr>
                <w:i/>
                <w:lang w:val="hr-HR"/>
              </w:rPr>
            </w:pPr>
          </w:p>
        </w:tc>
      </w:tr>
    </w:tbl>
    <w:p w14:paraId="0E1EBEE0" w14:textId="77777777" w:rsidR="00CB730C" w:rsidRPr="00905271" w:rsidRDefault="00CB730C" w:rsidP="00CB730C">
      <w:pPr>
        <w:tabs>
          <w:tab w:val="left" w:pos="2618"/>
        </w:tabs>
        <w:rPr>
          <w:lang w:val="hr-HR"/>
        </w:rPr>
      </w:pP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520"/>
        <w:gridCol w:w="10380"/>
      </w:tblGrid>
      <w:tr w:rsidR="00CB730C" w:rsidRPr="00905271" w14:paraId="569B7952" w14:textId="77777777">
        <w:tc>
          <w:tcPr>
            <w:tcW w:w="2520" w:type="dxa"/>
          </w:tcPr>
          <w:p w14:paraId="4C8D3CD7" w14:textId="77777777" w:rsidR="00CB730C" w:rsidRPr="00905271" w:rsidRDefault="00CB730C" w:rsidP="00CB730C">
            <w:pPr>
              <w:rPr>
                <w:b/>
                <w:lang w:val="hr-HR"/>
              </w:rPr>
            </w:pPr>
            <w:r w:rsidRPr="00905271">
              <w:rPr>
                <w:b/>
                <w:lang w:val="hr-HR"/>
              </w:rPr>
              <w:t>Primjedbe (ako ih ima)</w:t>
            </w:r>
          </w:p>
        </w:tc>
        <w:tc>
          <w:tcPr>
            <w:tcW w:w="10380" w:type="dxa"/>
          </w:tcPr>
          <w:p w14:paraId="6163D70D" w14:textId="77777777" w:rsidR="00CB730C" w:rsidRPr="00905271" w:rsidRDefault="00CB730C" w:rsidP="00CB730C">
            <w:pPr>
              <w:rPr>
                <w:lang w:val="hr-HR"/>
              </w:rPr>
            </w:pPr>
          </w:p>
          <w:p w14:paraId="4E3DEA7C" w14:textId="77777777" w:rsidR="00CB730C" w:rsidRPr="00905271" w:rsidRDefault="00CB730C" w:rsidP="00CB730C">
            <w:pPr>
              <w:rPr>
                <w:lang w:val="hr-HR"/>
              </w:rPr>
            </w:pPr>
          </w:p>
          <w:p w14:paraId="38596BF1" w14:textId="77777777" w:rsidR="00CB730C" w:rsidRPr="00905271" w:rsidRDefault="00CB730C" w:rsidP="00CB730C">
            <w:pPr>
              <w:rPr>
                <w:lang w:val="hr-HR"/>
              </w:rPr>
            </w:pPr>
          </w:p>
          <w:p w14:paraId="598ECEAC" w14:textId="77777777" w:rsidR="00CB730C" w:rsidRPr="00905271" w:rsidRDefault="00CB730C" w:rsidP="00CB730C">
            <w:pPr>
              <w:rPr>
                <w:lang w:val="hr-HR"/>
              </w:rPr>
            </w:pPr>
          </w:p>
        </w:tc>
      </w:tr>
    </w:tbl>
    <w:p w14:paraId="258A1AA7" w14:textId="77777777" w:rsidR="00CB730C" w:rsidRPr="00905271" w:rsidRDefault="00CB730C" w:rsidP="00CB730C">
      <w:pPr>
        <w:tabs>
          <w:tab w:val="left" w:pos="2805"/>
        </w:tabs>
        <w:rPr>
          <w:iCs/>
          <w:lang w:val="hr-HR"/>
        </w:rPr>
      </w:pPr>
    </w:p>
    <w:p w14:paraId="3E2D46AB" w14:textId="77777777" w:rsidR="00CB730C" w:rsidRPr="00905271" w:rsidRDefault="00CB730C" w:rsidP="00CB730C">
      <w:pPr>
        <w:tabs>
          <w:tab w:val="left" w:pos="2805"/>
        </w:tabs>
        <w:rPr>
          <w:iCs/>
          <w:lang w:val="hr-HR"/>
        </w:rPr>
      </w:pPr>
    </w:p>
    <w:p w14:paraId="69FCEB54" w14:textId="77777777" w:rsidR="00CB730C" w:rsidRPr="00905271" w:rsidRDefault="00652C5E" w:rsidP="00940E7D">
      <w:pPr>
        <w:tabs>
          <w:tab w:val="left" w:pos="2160"/>
        </w:tabs>
        <w:rPr>
          <w:i/>
          <w:iCs/>
          <w:lang w:val="hr-HR"/>
        </w:rPr>
      </w:pPr>
      <w:r w:rsidRPr="00905271">
        <w:rPr>
          <w:lang w:val="hr-HR"/>
        </w:rPr>
        <w:t xml:space="preserve">Kontrolnu listu odobrio </w:t>
      </w:r>
      <w:r w:rsidR="00CB730C" w:rsidRPr="00905271">
        <w:rPr>
          <w:lang w:val="hr-HR"/>
        </w:rPr>
        <w:t xml:space="preserve"> </w:t>
      </w:r>
      <w:r w:rsidR="00CB730C" w:rsidRPr="00905271">
        <w:rPr>
          <w:i/>
          <w:iCs/>
          <w:lang w:val="hr-HR"/>
        </w:rPr>
        <w:t>................................................................................…………..……….</w:t>
      </w:r>
    </w:p>
    <w:p w14:paraId="26DCF439" w14:textId="77777777" w:rsidR="00F545A5" w:rsidRPr="00905271" w:rsidRDefault="00F545A5" w:rsidP="00940E7D">
      <w:pPr>
        <w:tabs>
          <w:tab w:val="left" w:pos="2160"/>
        </w:tabs>
        <w:rPr>
          <w:i/>
          <w:iCs/>
          <w:lang w:val="hr-HR"/>
        </w:rPr>
      </w:pPr>
    </w:p>
    <w:p w14:paraId="0591E81B" w14:textId="77777777" w:rsidR="00CB730C" w:rsidRPr="00905271" w:rsidRDefault="00CB730C" w:rsidP="00CB730C">
      <w:pPr>
        <w:tabs>
          <w:tab w:val="left" w:pos="2805"/>
        </w:tabs>
        <w:rPr>
          <w:i/>
          <w:iCs/>
          <w:lang w:val="hr-HR"/>
        </w:rPr>
      </w:pPr>
      <w:r w:rsidRPr="00905271">
        <w:rPr>
          <w:i/>
          <w:iCs/>
          <w:lang w:val="hr-HR"/>
        </w:rPr>
        <w:tab/>
      </w:r>
      <w:r w:rsidRPr="00905271">
        <w:rPr>
          <w:i/>
          <w:iCs/>
          <w:lang w:val="hr-HR"/>
        </w:rPr>
        <w:tab/>
      </w:r>
      <w:r w:rsidRPr="00905271">
        <w:rPr>
          <w:i/>
          <w:iCs/>
          <w:lang w:val="hr-HR"/>
        </w:rPr>
        <w:tab/>
      </w:r>
      <w:r w:rsidRPr="00905271">
        <w:rPr>
          <w:i/>
          <w:iCs/>
          <w:lang w:val="hr-HR"/>
        </w:rPr>
        <w:tab/>
      </w:r>
      <w:r w:rsidRPr="00905271">
        <w:rPr>
          <w:i/>
          <w:iCs/>
          <w:lang w:val="hr-HR"/>
        </w:rPr>
        <w:tab/>
        <w:t>Ime, prezime, naziv odgovarajuće Službe, potpis i datum</w:t>
      </w:r>
    </w:p>
    <w:p w14:paraId="49820C87" w14:textId="77777777" w:rsidR="00F545A5" w:rsidRPr="00905271" w:rsidRDefault="00F545A5" w:rsidP="00CB730C">
      <w:pPr>
        <w:tabs>
          <w:tab w:val="left" w:pos="2805"/>
        </w:tabs>
        <w:rPr>
          <w:i/>
          <w:iCs/>
          <w:lang w:val="hr-HR"/>
        </w:rPr>
      </w:pP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2520"/>
        <w:gridCol w:w="10380"/>
      </w:tblGrid>
      <w:tr w:rsidR="009A4027" w:rsidRPr="00905271" w14:paraId="1C0A9930" w14:textId="77777777" w:rsidTr="00386663">
        <w:tc>
          <w:tcPr>
            <w:tcW w:w="2520" w:type="dxa"/>
          </w:tcPr>
          <w:p w14:paraId="1D278424" w14:textId="77777777" w:rsidR="009A4027" w:rsidRPr="00905271" w:rsidRDefault="009A4027" w:rsidP="00386663">
            <w:pPr>
              <w:rPr>
                <w:b/>
                <w:lang w:val="hr-HR"/>
              </w:rPr>
            </w:pPr>
            <w:r w:rsidRPr="00905271">
              <w:rPr>
                <w:b/>
                <w:lang w:val="hr-HR"/>
              </w:rPr>
              <w:t>Primjedbe (ako ih ima)</w:t>
            </w:r>
          </w:p>
        </w:tc>
        <w:tc>
          <w:tcPr>
            <w:tcW w:w="10380" w:type="dxa"/>
          </w:tcPr>
          <w:p w14:paraId="10051E8A" w14:textId="77777777" w:rsidR="009A4027" w:rsidRPr="00905271" w:rsidRDefault="009A4027" w:rsidP="00386663">
            <w:pPr>
              <w:rPr>
                <w:lang w:val="hr-HR"/>
              </w:rPr>
            </w:pPr>
          </w:p>
          <w:p w14:paraId="2F715639" w14:textId="77777777" w:rsidR="009A4027" w:rsidRPr="00905271" w:rsidRDefault="009A4027" w:rsidP="00386663">
            <w:pPr>
              <w:rPr>
                <w:lang w:val="hr-HR"/>
              </w:rPr>
            </w:pPr>
          </w:p>
          <w:p w14:paraId="2A058420" w14:textId="77777777" w:rsidR="009A4027" w:rsidRPr="00905271" w:rsidRDefault="009A4027" w:rsidP="00386663">
            <w:pPr>
              <w:rPr>
                <w:lang w:val="hr-HR"/>
              </w:rPr>
            </w:pPr>
          </w:p>
          <w:p w14:paraId="30AA9B0A" w14:textId="77777777" w:rsidR="009A4027" w:rsidRPr="00905271" w:rsidRDefault="009A4027" w:rsidP="00386663">
            <w:pPr>
              <w:rPr>
                <w:lang w:val="hr-HR"/>
              </w:rPr>
            </w:pPr>
          </w:p>
        </w:tc>
      </w:tr>
    </w:tbl>
    <w:p w14:paraId="5DA39603" w14:textId="77777777" w:rsidR="009A4027" w:rsidRPr="00905271" w:rsidRDefault="009A4027" w:rsidP="00CB730C">
      <w:pPr>
        <w:tabs>
          <w:tab w:val="left" w:pos="2805"/>
        </w:tabs>
        <w:rPr>
          <w:i/>
          <w:iCs/>
          <w:lang w:val="hr-HR"/>
        </w:rPr>
      </w:pPr>
    </w:p>
    <w:p w14:paraId="67BEC72E" w14:textId="77777777" w:rsidR="00CB730C" w:rsidRPr="00905271" w:rsidRDefault="00CB730C" w:rsidP="00F81E53">
      <w:pPr>
        <w:tabs>
          <w:tab w:val="left" w:pos="2160"/>
        </w:tabs>
        <w:spacing w:before="240"/>
        <w:rPr>
          <w:bCs/>
          <w:lang w:val="hr-HR"/>
        </w:rPr>
      </w:pPr>
    </w:p>
    <w:sectPr w:rsidR="00CB730C" w:rsidRPr="00905271" w:rsidSect="00CB730C">
      <w:headerReference w:type="default" r:id="rId29"/>
      <w:footerReference w:type="default" r:id="rId30"/>
      <w:headerReference w:type="first" r:id="rId31"/>
      <w:footerReference w:type="first" r:id="rId32"/>
      <w:pgSz w:w="16840"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887B" w14:textId="77777777" w:rsidR="00660906" w:rsidRDefault="00660906">
      <w:r>
        <w:separator/>
      </w:r>
    </w:p>
  </w:endnote>
  <w:endnote w:type="continuationSeparator" w:id="0">
    <w:p w14:paraId="6CA30B2C" w14:textId="77777777" w:rsidR="00660906" w:rsidRDefault="0066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CBDB" w14:textId="17DDF37B" w:rsidR="00A15391" w:rsidRPr="004A7307" w:rsidRDefault="004A7307">
    <w:pPr>
      <w:pStyle w:val="Footer"/>
      <w:jc w:val="center"/>
      <w:rPr>
        <w:sz w:val="18"/>
        <w:szCs w:val="18"/>
      </w:rPr>
    </w:pPr>
    <w:r w:rsidRPr="004A7307">
      <w:rPr>
        <w:sz w:val="18"/>
        <w:szCs w:val="18"/>
      </w:rPr>
      <w:t xml:space="preserve">Stranica </w:t>
    </w:r>
    <w:sdt>
      <w:sdtPr>
        <w:rPr>
          <w:sz w:val="18"/>
          <w:szCs w:val="18"/>
        </w:rPr>
        <w:id w:val="-1542048319"/>
        <w:docPartObj>
          <w:docPartGallery w:val="Page Numbers (Bottom of Page)"/>
          <w:docPartUnique/>
        </w:docPartObj>
      </w:sdtPr>
      <w:sdtEndPr>
        <w:rPr>
          <w:noProof/>
        </w:rPr>
      </w:sdtEndPr>
      <w:sdtContent>
        <w:r w:rsidR="00A15391" w:rsidRPr="004A7307">
          <w:rPr>
            <w:sz w:val="18"/>
            <w:szCs w:val="18"/>
          </w:rPr>
          <w:fldChar w:fldCharType="begin"/>
        </w:r>
        <w:r w:rsidR="00A15391" w:rsidRPr="004A7307">
          <w:rPr>
            <w:sz w:val="18"/>
            <w:szCs w:val="18"/>
          </w:rPr>
          <w:instrText xml:space="preserve"> PAGE   \* MERGEFORMAT </w:instrText>
        </w:r>
        <w:r w:rsidR="00A15391" w:rsidRPr="004A7307">
          <w:rPr>
            <w:sz w:val="18"/>
            <w:szCs w:val="18"/>
          </w:rPr>
          <w:fldChar w:fldCharType="separate"/>
        </w:r>
        <w:r w:rsidR="00F06D3F">
          <w:rPr>
            <w:noProof/>
            <w:sz w:val="18"/>
            <w:szCs w:val="18"/>
          </w:rPr>
          <w:t>9</w:t>
        </w:r>
        <w:r w:rsidR="00A15391" w:rsidRPr="004A7307">
          <w:rPr>
            <w:noProof/>
            <w:sz w:val="18"/>
            <w:szCs w:val="18"/>
          </w:rPr>
          <w:fldChar w:fldCharType="end"/>
        </w:r>
      </w:sdtContent>
    </w:sdt>
  </w:p>
  <w:p w14:paraId="23523C77" w14:textId="77777777" w:rsidR="00B32A95" w:rsidRPr="004A7307" w:rsidRDefault="00B32A9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30822"/>
      <w:docPartObj>
        <w:docPartGallery w:val="Page Numbers (Bottom of Page)"/>
        <w:docPartUnique/>
      </w:docPartObj>
    </w:sdtPr>
    <w:sdtEndPr>
      <w:rPr>
        <w:noProof/>
        <w:sz w:val="18"/>
        <w:szCs w:val="18"/>
      </w:rPr>
    </w:sdtEndPr>
    <w:sdtContent>
      <w:p w14:paraId="24E66C9C" w14:textId="479092C4" w:rsidR="00B32A95" w:rsidRPr="00B32A95" w:rsidRDefault="00B32A95">
        <w:pPr>
          <w:pStyle w:val="Footer"/>
          <w:jc w:val="center"/>
          <w:rPr>
            <w:sz w:val="18"/>
            <w:szCs w:val="18"/>
          </w:rPr>
        </w:pPr>
        <w:r>
          <w:rPr>
            <w:sz w:val="18"/>
            <w:szCs w:val="18"/>
          </w:rPr>
          <w:t xml:space="preserve">Stranica </w:t>
        </w:r>
        <w:r w:rsidRPr="00B32A95">
          <w:rPr>
            <w:sz w:val="18"/>
            <w:szCs w:val="18"/>
          </w:rPr>
          <w:fldChar w:fldCharType="begin"/>
        </w:r>
        <w:r w:rsidRPr="00B32A95">
          <w:rPr>
            <w:sz w:val="18"/>
            <w:szCs w:val="18"/>
          </w:rPr>
          <w:instrText xml:space="preserve"> PAGE   \* MERGEFORMAT </w:instrText>
        </w:r>
        <w:r w:rsidRPr="00B32A95">
          <w:rPr>
            <w:sz w:val="18"/>
            <w:szCs w:val="18"/>
          </w:rPr>
          <w:fldChar w:fldCharType="separate"/>
        </w:r>
        <w:r w:rsidR="00F06D3F">
          <w:rPr>
            <w:noProof/>
            <w:sz w:val="18"/>
            <w:szCs w:val="18"/>
          </w:rPr>
          <w:t>1</w:t>
        </w:r>
        <w:r w:rsidRPr="00B32A95">
          <w:rPr>
            <w:noProof/>
            <w:sz w:val="18"/>
            <w:szCs w:val="18"/>
          </w:rPr>
          <w:fldChar w:fldCharType="end"/>
        </w:r>
      </w:p>
    </w:sdtContent>
  </w:sdt>
  <w:p w14:paraId="3D35909F" w14:textId="77777777" w:rsidR="00C64340" w:rsidRDefault="00C6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C7F16" w14:textId="77777777" w:rsidR="00660906" w:rsidRDefault="00660906">
      <w:r>
        <w:separator/>
      </w:r>
    </w:p>
  </w:footnote>
  <w:footnote w:type="continuationSeparator" w:id="0">
    <w:p w14:paraId="10C67F7E" w14:textId="77777777" w:rsidR="00660906" w:rsidRDefault="0066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E2EB" w14:textId="77777777" w:rsidR="00940E7D" w:rsidRDefault="00940E7D" w:rsidP="00CB730C">
    <w:pPr>
      <w:pStyle w:val="Header"/>
      <w:jc w:val="right"/>
      <w:rPr>
        <w:rFonts w:ascii="Arial Narrow" w:hAnsi="Arial Narrow"/>
        <w:lang w:val="en-GB"/>
      </w:rPr>
    </w:pPr>
  </w:p>
  <w:p w14:paraId="5B702D02" w14:textId="77777777" w:rsidR="00940E7D" w:rsidRPr="00A574E5" w:rsidRDefault="00940E7D" w:rsidP="00CB730C">
    <w:pPr>
      <w:pStyle w:val="Header"/>
      <w:jc w:val="center"/>
      <w:rPr>
        <w:rFonts w:ascii="Arial Narrow" w:hAnsi="Arial Narrow"/>
        <w:lang w:val="en-GB"/>
      </w:rPr>
    </w:pPr>
  </w:p>
  <w:p w14:paraId="797B852F" w14:textId="77777777" w:rsidR="00940E7D" w:rsidRPr="00DA2DC7" w:rsidRDefault="00940E7D" w:rsidP="00CB730C">
    <w:pPr>
      <w:pStyle w:val="Header"/>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6577" w14:textId="7A71760E" w:rsidR="00940E7D" w:rsidRPr="00C64340" w:rsidRDefault="008C572E" w:rsidP="00B32DA3">
    <w:pPr>
      <w:pStyle w:val="Header"/>
      <w:tabs>
        <w:tab w:val="left" w:pos="3081"/>
      </w:tabs>
      <w:spacing w:after="240"/>
      <w:rPr>
        <w:rFonts w:ascii="Arial Narrow" w:hAnsi="Arial Narrow"/>
        <w:lang w:val="hr-HR"/>
      </w:rPr>
    </w:pPr>
    <w:r>
      <w:rPr>
        <w:rFonts w:ascii="Arial Narrow" w:hAnsi="Arial Narrow"/>
        <w:noProof/>
        <w:lang w:val="hr-HR" w:eastAsia="hr-HR"/>
      </w:rPr>
      <w:drawing>
        <wp:anchor distT="0" distB="0" distL="114300" distR="114300" simplePos="0" relativeHeight="251659264" behindDoc="1" locked="0" layoutInCell="1" allowOverlap="1" wp14:anchorId="419AB1FB" wp14:editId="64EA55EF">
          <wp:simplePos x="0" y="0"/>
          <wp:positionH relativeFrom="column">
            <wp:posOffset>7795260</wp:posOffset>
          </wp:positionH>
          <wp:positionV relativeFrom="paragraph">
            <wp:posOffset>-297180</wp:posOffset>
          </wp:positionV>
          <wp:extent cx="1901825" cy="494030"/>
          <wp:effectExtent l="0" t="0" r="3175" b="1270"/>
          <wp:wrapTight wrapText="bothSides">
            <wp:wrapPolygon edited="0">
              <wp:start x="649" y="0"/>
              <wp:lineTo x="0" y="0"/>
              <wp:lineTo x="0" y="15825"/>
              <wp:lineTo x="649" y="20823"/>
              <wp:lineTo x="865" y="20823"/>
              <wp:lineTo x="15145" y="20823"/>
              <wp:lineTo x="19256" y="20823"/>
              <wp:lineTo x="18391" y="13326"/>
              <wp:lineTo x="21420" y="13326"/>
              <wp:lineTo x="21420" y="0"/>
              <wp:lineTo x="3462" y="0"/>
              <wp:lineTo x="6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94030"/>
                  </a:xfrm>
                  <a:prstGeom prst="rect">
                    <a:avLst/>
                  </a:prstGeom>
                  <a:noFill/>
                </pic:spPr>
              </pic:pic>
            </a:graphicData>
          </a:graphic>
        </wp:anchor>
      </w:drawing>
    </w:r>
    <w:r>
      <w:rPr>
        <w:rFonts w:ascii="Arial Narrow" w:hAnsi="Arial Narrow"/>
        <w:noProof/>
        <w:lang w:val="hr-HR" w:eastAsia="hr-HR"/>
      </w:rPr>
      <w:drawing>
        <wp:anchor distT="0" distB="0" distL="114300" distR="114300" simplePos="0" relativeHeight="251658240" behindDoc="1" locked="0" layoutInCell="1" allowOverlap="1" wp14:anchorId="6612E444" wp14:editId="6A1E0497">
          <wp:simplePos x="0" y="0"/>
          <wp:positionH relativeFrom="column">
            <wp:posOffset>-144780</wp:posOffset>
          </wp:positionH>
          <wp:positionV relativeFrom="paragraph">
            <wp:posOffset>-297180</wp:posOffset>
          </wp:positionV>
          <wp:extent cx="2304415" cy="554990"/>
          <wp:effectExtent l="0" t="0" r="635" b="0"/>
          <wp:wrapTight wrapText="bothSides">
            <wp:wrapPolygon edited="0">
              <wp:start x="0" y="0"/>
              <wp:lineTo x="0" y="20760"/>
              <wp:lineTo x="21427" y="20760"/>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415" cy="554990"/>
                  </a:xfrm>
                  <a:prstGeom prst="rect">
                    <a:avLst/>
                  </a:prstGeom>
                  <a:noFill/>
                </pic:spPr>
              </pic:pic>
            </a:graphicData>
          </a:graphic>
        </wp:anchor>
      </w:drawing>
    </w:r>
    <w:r w:rsidR="00B32DA3" w:rsidRPr="00C64340">
      <w:rPr>
        <w:rFonts w:ascii="Arial Narrow" w:hAnsi="Arial Narrow"/>
        <w:lang w:val="hr-H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802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52A5"/>
    <w:multiLevelType w:val="hybridMultilevel"/>
    <w:tmpl w:val="AA4CB4A4"/>
    <w:lvl w:ilvl="0" w:tplc="388A62C8">
      <w:start w:val="1"/>
      <w:numFmt w:val="decimal"/>
      <w:lvlText w:val="6.3.5.6.%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990A48"/>
    <w:multiLevelType w:val="multilevel"/>
    <w:tmpl w:val="12EC5A78"/>
    <w:lvl w:ilvl="0">
      <w:start w:val="1"/>
      <w:numFmt w:val="decimal"/>
      <w:pStyle w:val="Punktas"/>
      <w:suff w:val="space"/>
      <w:lvlText w:val="%1."/>
      <w:lvlJc w:val="left"/>
      <w:pPr>
        <w:ind w:left="180" w:firstLine="720"/>
      </w:pPr>
      <w:rPr>
        <w:rFonts w:hint="default"/>
        <w:b w:val="0"/>
        <w:i w:val="0"/>
        <w:u w:val="none"/>
      </w:rPr>
    </w:lvl>
    <w:lvl w:ilvl="1">
      <w:start w:val="1"/>
      <w:numFmt w:val="none"/>
      <w:pStyle w:val="Papunktis"/>
      <w:suff w:val="space"/>
      <w:lvlText w:val="16."/>
      <w:lvlJc w:val="left"/>
      <w:pPr>
        <w:ind w:left="0" w:firstLine="720"/>
      </w:pPr>
      <w:rPr>
        <w:rFonts w:ascii="Times New Roman" w:eastAsia="Times New Roman" w:hAnsi="Times New Roman" w:cs="Times New Roman" w:hint="default"/>
      </w:rPr>
    </w:lvl>
    <w:lvl w:ilvl="2">
      <w:start w:val="1"/>
      <w:numFmt w:val="decimal"/>
      <w:pStyle w:val="Papunkiopapunktis"/>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09DA1A3B"/>
    <w:multiLevelType w:val="hybridMultilevel"/>
    <w:tmpl w:val="1E564DEE"/>
    <w:lvl w:ilvl="0" w:tplc="58C26EF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B3E9A"/>
    <w:multiLevelType w:val="multilevel"/>
    <w:tmpl w:val="C9A0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33786"/>
    <w:multiLevelType w:val="hybridMultilevel"/>
    <w:tmpl w:val="BDD083F2"/>
    <w:lvl w:ilvl="0" w:tplc="A5AE8544">
      <w:start w:val="1"/>
      <w:numFmt w:val="bullet"/>
      <w:lvlText w:val="−"/>
      <w:lvlJc w:val="left"/>
      <w:pPr>
        <w:ind w:left="1440" w:hanging="360"/>
      </w:pPr>
      <w:rPr>
        <w:rFonts w:ascii="Arial Narrow" w:hAnsi="Arial Narro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0F22EB7"/>
    <w:multiLevelType w:val="multilevel"/>
    <w:tmpl w:val="E3A2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7B41"/>
    <w:multiLevelType w:val="hybridMultilevel"/>
    <w:tmpl w:val="9522AB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Symbo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Symbol"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D42A16"/>
    <w:multiLevelType w:val="hybridMultilevel"/>
    <w:tmpl w:val="70EC6D4A"/>
    <w:lvl w:ilvl="0" w:tplc="E0D62528">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B726FA"/>
    <w:multiLevelType w:val="hybridMultilevel"/>
    <w:tmpl w:val="0BFC4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45614B"/>
    <w:multiLevelType w:val="hybridMultilevel"/>
    <w:tmpl w:val="E020A940"/>
    <w:lvl w:ilvl="0" w:tplc="150E2BC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DD5929"/>
    <w:multiLevelType w:val="hybridMultilevel"/>
    <w:tmpl w:val="9E48D9DA"/>
    <w:lvl w:ilvl="0" w:tplc="827C69C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3871E57"/>
    <w:multiLevelType w:val="hybridMultilevel"/>
    <w:tmpl w:val="9E48D9DA"/>
    <w:lvl w:ilvl="0" w:tplc="827C69C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273C66"/>
    <w:multiLevelType w:val="hybridMultilevel"/>
    <w:tmpl w:val="89D0526C"/>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66D3554"/>
    <w:multiLevelType w:val="multilevel"/>
    <w:tmpl w:val="2A5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C2AB5"/>
    <w:multiLevelType w:val="multilevel"/>
    <w:tmpl w:val="3D6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
  </w:num>
  <w:num w:numId="4">
    <w:abstractNumId w:val="12"/>
  </w:num>
  <w:num w:numId="5">
    <w:abstractNumId w:val="8"/>
  </w:num>
  <w:num w:numId="6">
    <w:abstractNumId w:val="1"/>
  </w:num>
  <w:num w:numId="7">
    <w:abstractNumId w:val="11"/>
  </w:num>
  <w:num w:numId="8">
    <w:abstractNumId w:val="3"/>
  </w:num>
  <w:num w:numId="9">
    <w:abstractNumId w:val="9"/>
  </w:num>
  <w:num w:numId="10">
    <w:abstractNumId w:val="5"/>
  </w:num>
  <w:num w:numId="11">
    <w:abstractNumId w:val="10"/>
  </w:num>
  <w:num w:numId="12">
    <w:abstractNumId w:val="0"/>
  </w:num>
  <w:num w:numId="13">
    <w:abstractNumId w:val="4"/>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66"/>
    <w:rsid w:val="00001FD7"/>
    <w:rsid w:val="000262EA"/>
    <w:rsid w:val="000369DD"/>
    <w:rsid w:val="000657B3"/>
    <w:rsid w:val="00075FD1"/>
    <w:rsid w:val="000866AC"/>
    <w:rsid w:val="00092328"/>
    <w:rsid w:val="000A4284"/>
    <w:rsid w:val="000C473B"/>
    <w:rsid w:val="000E4E38"/>
    <w:rsid w:val="0010014A"/>
    <w:rsid w:val="0014477C"/>
    <w:rsid w:val="00165E55"/>
    <w:rsid w:val="0016765B"/>
    <w:rsid w:val="00180641"/>
    <w:rsid w:val="001833A0"/>
    <w:rsid w:val="001854E8"/>
    <w:rsid w:val="001C071C"/>
    <w:rsid w:val="0020740B"/>
    <w:rsid w:val="00213ABB"/>
    <w:rsid w:val="0024172F"/>
    <w:rsid w:val="00244C62"/>
    <w:rsid w:val="0026043A"/>
    <w:rsid w:val="00261859"/>
    <w:rsid w:val="00291DCD"/>
    <w:rsid w:val="00294302"/>
    <w:rsid w:val="00297682"/>
    <w:rsid w:val="002A75AC"/>
    <w:rsid w:val="002C5E38"/>
    <w:rsid w:val="002D6416"/>
    <w:rsid w:val="002E15ED"/>
    <w:rsid w:val="002F4440"/>
    <w:rsid w:val="003032E1"/>
    <w:rsid w:val="00311A64"/>
    <w:rsid w:val="00341582"/>
    <w:rsid w:val="00345163"/>
    <w:rsid w:val="00373D10"/>
    <w:rsid w:val="00386663"/>
    <w:rsid w:val="00390C34"/>
    <w:rsid w:val="00395A85"/>
    <w:rsid w:val="003A1DA6"/>
    <w:rsid w:val="003A347E"/>
    <w:rsid w:val="003A62E3"/>
    <w:rsid w:val="003B0233"/>
    <w:rsid w:val="003C6D83"/>
    <w:rsid w:val="003E20EA"/>
    <w:rsid w:val="003E4B65"/>
    <w:rsid w:val="003F5B09"/>
    <w:rsid w:val="004031DB"/>
    <w:rsid w:val="0041404A"/>
    <w:rsid w:val="00415C97"/>
    <w:rsid w:val="00436EF9"/>
    <w:rsid w:val="00466505"/>
    <w:rsid w:val="00473716"/>
    <w:rsid w:val="004A7307"/>
    <w:rsid w:val="004B6F71"/>
    <w:rsid w:val="004C1D21"/>
    <w:rsid w:val="004C691A"/>
    <w:rsid w:val="004E12CD"/>
    <w:rsid w:val="004E3CD6"/>
    <w:rsid w:val="005338E4"/>
    <w:rsid w:val="005B4005"/>
    <w:rsid w:val="005C5C9A"/>
    <w:rsid w:val="005F40A4"/>
    <w:rsid w:val="00605589"/>
    <w:rsid w:val="006309DB"/>
    <w:rsid w:val="00641A80"/>
    <w:rsid w:val="00652C5E"/>
    <w:rsid w:val="00660906"/>
    <w:rsid w:val="006742F0"/>
    <w:rsid w:val="00684FFC"/>
    <w:rsid w:val="006A524A"/>
    <w:rsid w:val="006A540A"/>
    <w:rsid w:val="006C23A6"/>
    <w:rsid w:val="006E6F8E"/>
    <w:rsid w:val="00701D32"/>
    <w:rsid w:val="00706066"/>
    <w:rsid w:val="00727514"/>
    <w:rsid w:val="007525AE"/>
    <w:rsid w:val="0076495B"/>
    <w:rsid w:val="0078229B"/>
    <w:rsid w:val="00785449"/>
    <w:rsid w:val="00787AD7"/>
    <w:rsid w:val="00792357"/>
    <w:rsid w:val="007D0434"/>
    <w:rsid w:val="007D7B14"/>
    <w:rsid w:val="007E220F"/>
    <w:rsid w:val="007E40CC"/>
    <w:rsid w:val="00826123"/>
    <w:rsid w:val="00830651"/>
    <w:rsid w:val="00840FBB"/>
    <w:rsid w:val="008460FA"/>
    <w:rsid w:val="00863E88"/>
    <w:rsid w:val="0089324E"/>
    <w:rsid w:val="008C572E"/>
    <w:rsid w:val="008D4EED"/>
    <w:rsid w:val="008D600E"/>
    <w:rsid w:val="008E19E2"/>
    <w:rsid w:val="008F7E0E"/>
    <w:rsid w:val="00905271"/>
    <w:rsid w:val="00921AC9"/>
    <w:rsid w:val="009307E4"/>
    <w:rsid w:val="00933147"/>
    <w:rsid w:val="00940E7D"/>
    <w:rsid w:val="009573F3"/>
    <w:rsid w:val="009A4027"/>
    <w:rsid w:val="009C5561"/>
    <w:rsid w:val="009C7F6B"/>
    <w:rsid w:val="009D75A4"/>
    <w:rsid w:val="009F4315"/>
    <w:rsid w:val="00A15391"/>
    <w:rsid w:val="00A219DE"/>
    <w:rsid w:val="00A23E90"/>
    <w:rsid w:val="00A33670"/>
    <w:rsid w:val="00A674C8"/>
    <w:rsid w:val="00A704E5"/>
    <w:rsid w:val="00A93685"/>
    <w:rsid w:val="00A9609F"/>
    <w:rsid w:val="00A969D5"/>
    <w:rsid w:val="00AB5E1C"/>
    <w:rsid w:val="00AC5A5A"/>
    <w:rsid w:val="00AD28B3"/>
    <w:rsid w:val="00AF478D"/>
    <w:rsid w:val="00B22102"/>
    <w:rsid w:val="00B244F7"/>
    <w:rsid w:val="00B32A95"/>
    <w:rsid w:val="00B32DA3"/>
    <w:rsid w:val="00B50A1D"/>
    <w:rsid w:val="00B64BC0"/>
    <w:rsid w:val="00B72021"/>
    <w:rsid w:val="00B760AB"/>
    <w:rsid w:val="00B7764C"/>
    <w:rsid w:val="00B87167"/>
    <w:rsid w:val="00B91835"/>
    <w:rsid w:val="00C0096D"/>
    <w:rsid w:val="00C459CB"/>
    <w:rsid w:val="00C53B0A"/>
    <w:rsid w:val="00C64340"/>
    <w:rsid w:val="00C8239A"/>
    <w:rsid w:val="00C91644"/>
    <w:rsid w:val="00CB730C"/>
    <w:rsid w:val="00CD0240"/>
    <w:rsid w:val="00CD4963"/>
    <w:rsid w:val="00CD49BC"/>
    <w:rsid w:val="00CE55B3"/>
    <w:rsid w:val="00D00396"/>
    <w:rsid w:val="00D62DF7"/>
    <w:rsid w:val="00D7287E"/>
    <w:rsid w:val="00D76EEA"/>
    <w:rsid w:val="00D81D82"/>
    <w:rsid w:val="00DA32EB"/>
    <w:rsid w:val="00DC4319"/>
    <w:rsid w:val="00DE14E8"/>
    <w:rsid w:val="00DF2ABA"/>
    <w:rsid w:val="00E04943"/>
    <w:rsid w:val="00E36CF2"/>
    <w:rsid w:val="00E652F4"/>
    <w:rsid w:val="00E93890"/>
    <w:rsid w:val="00E96F19"/>
    <w:rsid w:val="00EC09E9"/>
    <w:rsid w:val="00EC273B"/>
    <w:rsid w:val="00ED63F6"/>
    <w:rsid w:val="00EF471C"/>
    <w:rsid w:val="00F06D3F"/>
    <w:rsid w:val="00F41DAA"/>
    <w:rsid w:val="00F545A5"/>
    <w:rsid w:val="00F81E53"/>
    <w:rsid w:val="00F858B4"/>
    <w:rsid w:val="00FA46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2A27FE"/>
  <w14:defaultImageDpi w14:val="300"/>
  <w15:docId w15:val="{91738AE6-72BD-49CE-8497-18D299A0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66"/>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06066"/>
    <w:pPr>
      <w:overflowPunct w:val="0"/>
      <w:autoSpaceDE w:val="0"/>
      <w:autoSpaceDN w:val="0"/>
      <w:adjustRightInd w:val="0"/>
      <w:textAlignment w:val="baseline"/>
    </w:pPr>
    <w:rPr>
      <w:sz w:val="20"/>
      <w:szCs w:val="20"/>
    </w:rPr>
  </w:style>
  <w:style w:type="character" w:styleId="FootnoteReference">
    <w:name w:val="footnote reference"/>
    <w:semiHidden/>
    <w:rsid w:val="00706066"/>
    <w:rPr>
      <w:vertAlign w:val="superscript"/>
    </w:rPr>
  </w:style>
  <w:style w:type="table" w:styleId="TableGrid">
    <w:name w:val="Table Grid"/>
    <w:basedOn w:val="TableNormal"/>
    <w:uiPriority w:val="59"/>
    <w:rsid w:val="0070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 8"/>
    <w:basedOn w:val="Normal"/>
    <w:rsid w:val="00706066"/>
    <w:pPr>
      <w:widowControl w:val="0"/>
      <w:tabs>
        <w:tab w:val="left" w:pos="5940"/>
      </w:tabs>
      <w:spacing w:after="288"/>
    </w:pPr>
    <w:rPr>
      <w:noProof/>
      <w:color w:val="000000"/>
      <w:sz w:val="20"/>
      <w:szCs w:val="20"/>
    </w:rPr>
  </w:style>
  <w:style w:type="character" w:styleId="CommentReference">
    <w:name w:val="annotation reference"/>
    <w:semiHidden/>
    <w:rsid w:val="00BE667C"/>
    <w:rPr>
      <w:sz w:val="16"/>
      <w:szCs w:val="16"/>
    </w:rPr>
  </w:style>
  <w:style w:type="paragraph" w:styleId="CommentText">
    <w:name w:val="annotation text"/>
    <w:basedOn w:val="Normal"/>
    <w:semiHidden/>
    <w:rsid w:val="00BE667C"/>
    <w:rPr>
      <w:sz w:val="20"/>
      <w:szCs w:val="20"/>
    </w:rPr>
  </w:style>
  <w:style w:type="paragraph" w:styleId="CommentSubject">
    <w:name w:val="annotation subject"/>
    <w:basedOn w:val="CommentText"/>
    <w:next w:val="CommentText"/>
    <w:semiHidden/>
    <w:rsid w:val="00BE667C"/>
    <w:rPr>
      <w:b/>
      <w:bCs/>
    </w:rPr>
  </w:style>
  <w:style w:type="paragraph" w:styleId="BalloonText">
    <w:name w:val="Balloon Text"/>
    <w:basedOn w:val="Normal"/>
    <w:semiHidden/>
    <w:rsid w:val="00BE667C"/>
    <w:rPr>
      <w:rFonts w:ascii="Tahoma" w:hAnsi="Tahoma" w:cs="Tahoma"/>
      <w:sz w:val="16"/>
      <w:szCs w:val="16"/>
    </w:rPr>
  </w:style>
  <w:style w:type="paragraph" w:styleId="Header">
    <w:name w:val="header"/>
    <w:basedOn w:val="Normal"/>
    <w:link w:val="HeaderChar"/>
    <w:uiPriority w:val="99"/>
    <w:rsid w:val="00685399"/>
    <w:pPr>
      <w:tabs>
        <w:tab w:val="center" w:pos="4986"/>
        <w:tab w:val="right" w:pos="9972"/>
      </w:tabs>
    </w:pPr>
    <w:rPr>
      <w:lang w:val="x-none"/>
    </w:rPr>
  </w:style>
  <w:style w:type="paragraph" w:styleId="Footer">
    <w:name w:val="footer"/>
    <w:basedOn w:val="Normal"/>
    <w:link w:val="FooterChar"/>
    <w:uiPriority w:val="99"/>
    <w:rsid w:val="00685399"/>
    <w:pPr>
      <w:tabs>
        <w:tab w:val="center" w:pos="4986"/>
        <w:tab w:val="right" w:pos="9972"/>
      </w:tabs>
    </w:pPr>
  </w:style>
  <w:style w:type="character" w:customStyle="1" w:styleId="HeaderChar">
    <w:name w:val="Header Char"/>
    <w:link w:val="Header"/>
    <w:uiPriority w:val="99"/>
    <w:rsid w:val="00DA2DC7"/>
    <w:rPr>
      <w:sz w:val="24"/>
      <w:szCs w:val="24"/>
      <w:lang w:eastAsia="en-US"/>
    </w:rPr>
  </w:style>
  <w:style w:type="paragraph" w:customStyle="1" w:styleId="Punktas">
    <w:name w:val="Punktas"/>
    <w:basedOn w:val="BodyTextIndent"/>
    <w:rsid w:val="0098240A"/>
    <w:pPr>
      <w:numPr>
        <w:numId w:val="3"/>
      </w:numPr>
      <w:spacing w:before="60" w:after="60"/>
      <w:ind w:left="720" w:hanging="360"/>
      <w:jc w:val="both"/>
    </w:pPr>
    <w:rPr>
      <w:rFonts w:eastAsia="MS Mincho"/>
    </w:rPr>
  </w:style>
  <w:style w:type="paragraph" w:customStyle="1" w:styleId="Papunktis">
    <w:name w:val="Papunktis"/>
    <w:basedOn w:val="BodyTextIndent"/>
    <w:rsid w:val="0098240A"/>
    <w:pPr>
      <w:numPr>
        <w:ilvl w:val="1"/>
        <w:numId w:val="3"/>
      </w:numPr>
      <w:spacing w:after="0"/>
      <w:ind w:left="1440" w:hanging="360"/>
      <w:jc w:val="both"/>
    </w:pPr>
    <w:rPr>
      <w:rFonts w:eastAsia="MS Mincho"/>
    </w:rPr>
  </w:style>
  <w:style w:type="paragraph" w:customStyle="1" w:styleId="Papunkiopapunktis">
    <w:name w:val="Papunkčio papunktis"/>
    <w:basedOn w:val="Normal"/>
    <w:rsid w:val="0098240A"/>
    <w:pPr>
      <w:numPr>
        <w:ilvl w:val="2"/>
        <w:numId w:val="3"/>
      </w:numPr>
      <w:jc w:val="both"/>
    </w:pPr>
    <w:rPr>
      <w:rFonts w:eastAsia="MS Mincho"/>
    </w:rPr>
  </w:style>
  <w:style w:type="paragraph" w:styleId="BodyTextIndent">
    <w:name w:val="Body Text Indent"/>
    <w:basedOn w:val="Normal"/>
    <w:link w:val="BodyTextIndentChar"/>
    <w:rsid w:val="0098240A"/>
    <w:pPr>
      <w:spacing w:after="120"/>
      <w:ind w:left="283"/>
    </w:pPr>
    <w:rPr>
      <w:lang w:val="x-none"/>
    </w:rPr>
  </w:style>
  <w:style w:type="character" w:customStyle="1" w:styleId="BodyTextIndentChar">
    <w:name w:val="Body Text Indent Char"/>
    <w:link w:val="BodyTextIndent"/>
    <w:rsid w:val="0098240A"/>
    <w:rPr>
      <w:sz w:val="24"/>
      <w:szCs w:val="24"/>
      <w:lang w:eastAsia="en-US"/>
    </w:rPr>
  </w:style>
  <w:style w:type="paragraph" w:styleId="ListParagraph">
    <w:name w:val="List Paragraph"/>
    <w:basedOn w:val="Normal"/>
    <w:uiPriority w:val="34"/>
    <w:qFormat/>
    <w:rsid w:val="00E77828"/>
    <w:pPr>
      <w:spacing w:after="200" w:line="276" w:lineRule="auto"/>
      <w:ind w:left="720"/>
      <w:contextualSpacing/>
    </w:pPr>
    <w:rPr>
      <w:rFonts w:ascii="Calibri" w:eastAsia="Calibri" w:hAnsi="Calibri"/>
      <w:sz w:val="22"/>
      <w:szCs w:val="22"/>
    </w:rPr>
  </w:style>
  <w:style w:type="paragraph" w:styleId="TOC3">
    <w:name w:val="toc 3"/>
    <w:basedOn w:val="Normal"/>
    <w:next w:val="Normal"/>
    <w:autoRedefine/>
    <w:uiPriority w:val="39"/>
    <w:unhideWhenUsed/>
    <w:rsid w:val="00A43196"/>
    <w:pPr>
      <w:ind w:left="480"/>
    </w:pPr>
    <w:rPr>
      <w:rFonts w:ascii="Calibri" w:hAnsi="Calibri"/>
      <w:sz w:val="20"/>
      <w:szCs w:val="20"/>
      <w:lang w:val="en-US"/>
    </w:rPr>
  </w:style>
  <w:style w:type="paragraph" w:styleId="NormalWeb">
    <w:name w:val="Normal (Web)"/>
    <w:basedOn w:val="Normal"/>
    <w:uiPriority w:val="99"/>
    <w:unhideWhenUsed/>
    <w:rsid w:val="000A40A4"/>
    <w:pPr>
      <w:spacing w:before="100" w:beforeAutospacing="1" w:after="100" w:afterAutospacing="1"/>
    </w:pPr>
    <w:rPr>
      <w:lang w:eastAsia="lt-LT"/>
    </w:rPr>
  </w:style>
  <w:style w:type="character" w:styleId="Hyperlink">
    <w:name w:val="Hyperlink"/>
    <w:rsid w:val="00494B0D"/>
    <w:rPr>
      <w:color w:val="0000FF"/>
      <w:u w:val="single"/>
    </w:rPr>
  </w:style>
  <w:style w:type="paragraph" w:styleId="Revision">
    <w:name w:val="Revision"/>
    <w:hidden/>
    <w:uiPriority w:val="99"/>
    <w:semiHidden/>
    <w:rsid w:val="003E4B65"/>
    <w:rPr>
      <w:sz w:val="24"/>
      <w:szCs w:val="24"/>
      <w:lang w:val="lt-LT"/>
    </w:rPr>
  </w:style>
  <w:style w:type="character" w:customStyle="1" w:styleId="hps">
    <w:name w:val="hps"/>
    <w:uiPriority w:val="99"/>
    <w:rsid w:val="007E40CC"/>
    <w:rPr>
      <w:rFonts w:cs="Times New Roman"/>
    </w:rPr>
  </w:style>
  <w:style w:type="table" w:customStyle="1" w:styleId="TableGrid1">
    <w:name w:val="Table Grid1"/>
    <w:basedOn w:val="TableNormal"/>
    <w:next w:val="TableGrid"/>
    <w:uiPriority w:val="59"/>
    <w:rsid w:val="00B32DA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4340"/>
    <w:rPr>
      <w:sz w:val="24"/>
      <w:szCs w:val="24"/>
      <w:lang w:val="lt-LT" w:eastAsia="en-US"/>
    </w:rPr>
  </w:style>
  <w:style w:type="character" w:customStyle="1" w:styleId="apple-converted-space">
    <w:name w:val="apple-converted-space"/>
    <w:basedOn w:val="DefaultParagraphFont"/>
    <w:rsid w:val="00ED63F6"/>
  </w:style>
  <w:style w:type="character" w:styleId="Strong">
    <w:name w:val="Strong"/>
    <w:basedOn w:val="DefaultParagraphFont"/>
    <w:uiPriority w:val="22"/>
    <w:qFormat/>
    <w:rsid w:val="00ED63F6"/>
    <w:rPr>
      <w:b/>
      <w:bCs/>
    </w:rPr>
  </w:style>
  <w:style w:type="character" w:styleId="FollowedHyperlink">
    <w:name w:val="FollowedHyperlink"/>
    <w:basedOn w:val="DefaultParagraphFont"/>
    <w:rsid w:val="00ED63F6"/>
    <w:rPr>
      <w:color w:val="800080" w:themeColor="followedHyperlink"/>
      <w:u w:val="single"/>
    </w:rPr>
  </w:style>
  <w:style w:type="table" w:customStyle="1" w:styleId="TableGrid2">
    <w:name w:val="Table Grid2"/>
    <w:basedOn w:val="TableNormal"/>
    <w:next w:val="TableGrid"/>
    <w:uiPriority w:val="59"/>
    <w:rsid w:val="00390C34"/>
    <w:rPr>
      <w:rFonts w:ascii="Calibri" w:eastAsia="Calibri" w:hAnsi="Calibri"/>
      <w:sz w:val="22"/>
      <w:szCs w:val="22"/>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9400">
      <w:bodyDiv w:val="1"/>
      <w:marLeft w:val="0"/>
      <w:marRight w:val="0"/>
      <w:marTop w:val="0"/>
      <w:marBottom w:val="0"/>
      <w:divBdr>
        <w:top w:val="none" w:sz="0" w:space="0" w:color="auto"/>
        <w:left w:val="none" w:sz="0" w:space="0" w:color="auto"/>
        <w:bottom w:val="none" w:sz="0" w:space="0" w:color="auto"/>
        <w:right w:val="none" w:sz="0" w:space="0" w:color="auto"/>
      </w:divBdr>
    </w:div>
    <w:div w:id="413671547">
      <w:bodyDiv w:val="1"/>
      <w:marLeft w:val="0"/>
      <w:marRight w:val="0"/>
      <w:marTop w:val="0"/>
      <w:marBottom w:val="0"/>
      <w:divBdr>
        <w:top w:val="none" w:sz="0" w:space="0" w:color="auto"/>
        <w:left w:val="none" w:sz="0" w:space="0" w:color="auto"/>
        <w:bottom w:val="none" w:sz="0" w:space="0" w:color="auto"/>
        <w:right w:val="none" w:sz="0" w:space="0" w:color="auto"/>
      </w:divBdr>
    </w:div>
    <w:div w:id="504397261">
      <w:bodyDiv w:val="1"/>
      <w:marLeft w:val="0"/>
      <w:marRight w:val="0"/>
      <w:marTop w:val="0"/>
      <w:marBottom w:val="0"/>
      <w:divBdr>
        <w:top w:val="none" w:sz="0" w:space="0" w:color="auto"/>
        <w:left w:val="none" w:sz="0" w:space="0" w:color="auto"/>
        <w:bottom w:val="none" w:sz="0" w:space="0" w:color="auto"/>
        <w:right w:val="none" w:sz="0" w:space="0" w:color="auto"/>
      </w:divBdr>
    </w:div>
    <w:div w:id="539980674">
      <w:bodyDiv w:val="1"/>
      <w:marLeft w:val="0"/>
      <w:marRight w:val="0"/>
      <w:marTop w:val="0"/>
      <w:marBottom w:val="0"/>
      <w:divBdr>
        <w:top w:val="none" w:sz="0" w:space="0" w:color="auto"/>
        <w:left w:val="none" w:sz="0" w:space="0" w:color="auto"/>
        <w:bottom w:val="none" w:sz="0" w:space="0" w:color="auto"/>
        <w:right w:val="none" w:sz="0" w:space="0" w:color="auto"/>
      </w:divBdr>
    </w:div>
    <w:div w:id="562329344">
      <w:bodyDiv w:val="1"/>
      <w:marLeft w:val="0"/>
      <w:marRight w:val="0"/>
      <w:marTop w:val="0"/>
      <w:marBottom w:val="0"/>
      <w:divBdr>
        <w:top w:val="none" w:sz="0" w:space="0" w:color="auto"/>
        <w:left w:val="none" w:sz="0" w:space="0" w:color="auto"/>
        <w:bottom w:val="none" w:sz="0" w:space="0" w:color="auto"/>
        <w:right w:val="none" w:sz="0" w:space="0" w:color="auto"/>
      </w:divBdr>
    </w:div>
    <w:div w:id="640116487">
      <w:bodyDiv w:val="1"/>
      <w:marLeft w:val="0"/>
      <w:marRight w:val="0"/>
      <w:marTop w:val="0"/>
      <w:marBottom w:val="0"/>
      <w:divBdr>
        <w:top w:val="none" w:sz="0" w:space="0" w:color="auto"/>
        <w:left w:val="none" w:sz="0" w:space="0" w:color="auto"/>
        <w:bottom w:val="none" w:sz="0" w:space="0" w:color="auto"/>
        <w:right w:val="none" w:sz="0" w:space="0" w:color="auto"/>
      </w:divBdr>
    </w:div>
    <w:div w:id="669406988">
      <w:bodyDiv w:val="1"/>
      <w:marLeft w:val="0"/>
      <w:marRight w:val="0"/>
      <w:marTop w:val="0"/>
      <w:marBottom w:val="0"/>
      <w:divBdr>
        <w:top w:val="none" w:sz="0" w:space="0" w:color="auto"/>
        <w:left w:val="none" w:sz="0" w:space="0" w:color="auto"/>
        <w:bottom w:val="none" w:sz="0" w:space="0" w:color="auto"/>
        <w:right w:val="none" w:sz="0" w:space="0" w:color="auto"/>
      </w:divBdr>
    </w:div>
    <w:div w:id="856584086">
      <w:bodyDiv w:val="1"/>
      <w:marLeft w:val="0"/>
      <w:marRight w:val="0"/>
      <w:marTop w:val="0"/>
      <w:marBottom w:val="0"/>
      <w:divBdr>
        <w:top w:val="none" w:sz="0" w:space="0" w:color="auto"/>
        <w:left w:val="none" w:sz="0" w:space="0" w:color="auto"/>
        <w:bottom w:val="none" w:sz="0" w:space="0" w:color="auto"/>
        <w:right w:val="none" w:sz="0" w:space="0" w:color="auto"/>
      </w:divBdr>
    </w:div>
    <w:div w:id="1363628020">
      <w:bodyDiv w:val="1"/>
      <w:marLeft w:val="0"/>
      <w:marRight w:val="0"/>
      <w:marTop w:val="0"/>
      <w:marBottom w:val="0"/>
      <w:divBdr>
        <w:top w:val="none" w:sz="0" w:space="0" w:color="auto"/>
        <w:left w:val="none" w:sz="0" w:space="0" w:color="auto"/>
        <w:bottom w:val="none" w:sz="0" w:space="0" w:color="auto"/>
        <w:right w:val="none" w:sz="0" w:space="0" w:color="auto"/>
      </w:divBdr>
    </w:div>
    <w:div w:id="1533617328">
      <w:bodyDiv w:val="1"/>
      <w:marLeft w:val="0"/>
      <w:marRight w:val="0"/>
      <w:marTop w:val="0"/>
      <w:marBottom w:val="0"/>
      <w:divBdr>
        <w:top w:val="none" w:sz="0" w:space="0" w:color="auto"/>
        <w:left w:val="none" w:sz="0" w:space="0" w:color="auto"/>
        <w:bottom w:val="none" w:sz="0" w:space="0" w:color="auto"/>
        <w:right w:val="none" w:sz="0" w:space="0" w:color="auto"/>
      </w:divBdr>
    </w:div>
    <w:div w:id="1602495761">
      <w:bodyDiv w:val="1"/>
      <w:marLeft w:val="0"/>
      <w:marRight w:val="0"/>
      <w:marTop w:val="0"/>
      <w:marBottom w:val="0"/>
      <w:divBdr>
        <w:top w:val="none" w:sz="0" w:space="0" w:color="auto"/>
        <w:left w:val="none" w:sz="0" w:space="0" w:color="auto"/>
        <w:bottom w:val="none" w:sz="0" w:space="0" w:color="auto"/>
        <w:right w:val="none" w:sz="0" w:space="0" w:color="auto"/>
      </w:divBdr>
    </w:div>
    <w:div w:id="1789158420">
      <w:bodyDiv w:val="1"/>
      <w:marLeft w:val="0"/>
      <w:marRight w:val="0"/>
      <w:marTop w:val="0"/>
      <w:marBottom w:val="0"/>
      <w:divBdr>
        <w:top w:val="none" w:sz="0" w:space="0" w:color="auto"/>
        <w:left w:val="none" w:sz="0" w:space="0" w:color="auto"/>
        <w:bottom w:val="none" w:sz="0" w:space="0" w:color="auto"/>
        <w:right w:val="none" w:sz="0" w:space="0" w:color="auto"/>
      </w:divBdr>
    </w:div>
    <w:div w:id="2006863211">
      <w:bodyDiv w:val="1"/>
      <w:marLeft w:val="0"/>
      <w:marRight w:val="0"/>
      <w:marTop w:val="0"/>
      <w:marBottom w:val="0"/>
      <w:divBdr>
        <w:top w:val="none" w:sz="0" w:space="0" w:color="auto"/>
        <w:left w:val="none" w:sz="0" w:space="0" w:color="auto"/>
        <w:bottom w:val="none" w:sz="0" w:space="0" w:color="auto"/>
        <w:right w:val="none" w:sz="0" w:space="0" w:color="auto"/>
      </w:divBdr>
    </w:div>
    <w:div w:id="2087680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HR/TXT/PDF/?uri=OJ:L:2014:187:FULL&amp;from=EN" TargetMode="External"/><Relationship Id="rId13" Type="http://schemas.openxmlformats.org/officeDocument/2006/relationships/hyperlink" Target="http://eur-lex.europa.eu/legal-content/HR/TXT/PDF/?uri=OJ:L:2013:352:FULL&amp;from=EN" TargetMode="External"/><Relationship Id="rId18" Type="http://schemas.openxmlformats.org/officeDocument/2006/relationships/hyperlink" Target="http://eur-lex.europa.eu/legal-content/HR/TXT/PDF/?uri=CELEX:52014XC0122(04)&amp;from=EN" TargetMode="External"/><Relationship Id="rId26" Type="http://schemas.openxmlformats.org/officeDocument/2006/relationships/hyperlink" Target="http://narodne-novine.nn.hr/clanci/sluzbeni/2014_04_47_873.html" TargetMode="External"/><Relationship Id="rId3" Type="http://schemas.openxmlformats.org/officeDocument/2006/relationships/settings" Target="settings.xml"/><Relationship Id="rId21" Type="http://schemas.openxmlformats.org/officeDocument/2006/relationships/hyperlink" Target="http://eur-lex.europa.eu/legal-content/EN/TXT/PDF/?uri=CELEX:52012XC0111(02)&amp;from=EN" TargetMode="External"/><Relationship Id="rId34" Type="http://schemas.openxmlformats.org/officeDocument/2006/relationships/theme" Target="theme/theme1.xml"/><Relationship Id="rId7" Type="http://schemas.openxmlformats.org/officeDocument/2006/relationships/hyperlink" Target="http://ec.europa.eu/competition/state_aid/legislation/legislation.html" TargetMode="External"/><Relationship Id="rId12" Type="http://schemas.openxmlformats.org/officeDocument/2006/relationships/hyperlink" Target="https://eur-lex.europa.eu/legal-content/HR/TXT/PDF/?uri=CELEX:02014R0651-20210801&amp;from=EN" TargetMode="External"/><Relationship Id="rId17" Type="http://schemas.openxmlformats.org/officeDocument/2006/relationships/hyperlink" Target="http://eur-lex.europa.eu/LexUriServ/LexUriServ.do?uri=OJ:C:2013:025:0001:0026:EN:PDF" TargetMode="External"/><Relationship Id="rId25" Type="http://schemas.openxmlformats.org/officeDocument/2006/relationships/hyperlink" Target="http://eur-lex.europa.eu/legal-content/HR/TXT/PDF/?uri=CELEX:52014XC0731(01)&amp;from=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legal-content/HR/TXT/PDF/?uri=CELEX:52014XC0628(01)&amp;from=EN" TargetMode="External"/><Relationship Id="rId20" Type="http://schemas.openxmlformats.org/officeDocument/2006/relationships/hyperlink" Target="http://eur-lex.europa.eu/LexUriServ/LexUriServ.do?uri=OJ:C:2013:332:0001:0011:HR: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HR/TXT/PDF/?uri=CELEX:32021R1237&amp;from=EN" TargetMode="External"/><Relationship Id="rId24" Type="http://schemas.openxmlformats.org/officeDocument/2006/relationships/hyperlink" Target="http://eur-lex.europa.eu/legal-content/HR/TXT/PDF/?uri=CELEX:32012R0360&amp;from=E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ur-lex.europa.eu/legal-content/HR/TXT/PDF/?uri=OJ:C:2014:198:FULL&amp;from=EN" TargetMode="External"/><Relationship Id="rId23" Type="http://schemas.openxmlformats.org/officeDocument/2006/relationships/hyperlink" Target="http://eur-lex.europa.eu/legal-content/EN/TXT/PDF/?uri=CELEX:52012XC0111(03)&amp;from=EN" TargetMode="External"/><Relationship Id="rId28" Type="http://schemas.openxmlformats.org/officeDocument/2006/relationships/hyperlink" Target="http://narodne-novine.nn.hr/clanci/sluzbeni/2013_07_99_2237.html" TargetMode="External"/><Relationship Id="rId10" Type="http://schemas.openxmlformats.org/officeDocument/2006/relationships/hyperlink" Target="https://eur-lex.europa.eu/legal-content/HR/TXT/PDF/?uri=CELEX:32020R0972&amp;from=hr" TargetMode="External"/><Relationship Id="rId19" Type="http://schemas.openxmlformats.org/officeDocument/2006/relationships/hyperlink" Target="http://eur-lex.europa.eu/legal-content/HR/TXT/PDF/?uri=OJ:C:2014:099:FULL&amp;from=EN"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ur-lex.europa.eu/legal-content/HR/TXT/PDF/?uri=CELEX:32017R1084&amp;from=HR" TargetMode="External"/><Relationship Id="rId14" Type="http://schemas.openxmlformats.org/officeDocument/2006/relationships/hyperlink" Target="http://eur-lex.europa.eu/LexUriServ/LexUriServ.do?uri=OJ:C:2013:209:0001:0045:EN:PDF" TargetMode="External"/><Relationship Id="rId22" Type="http://schemas.openxmlformats.org/officeDocument/2006/relationships/hyperlink" Target="http://eur-lex.europa.eu/legal-content/HR/TXT/PDF/?uri=CELEX:32012D0021&amp;from=EN" TargetMode="External"/><Relationship Id="rId27" Type="http://schemas.openxmlformats.org/officeDocument/2006/relationships/hyperlink" Target="https://narodne-novine.nn.hr/clanci/sluzbeni/full/2017_07_69_1609.htm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2195</Words>
  <Characters>17242</Characters>
  <Application>Microsoft Office Word</Application>
  <DocSecurity>0</DocSecurity>
  <Lines>143</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F-SP-PV-07</vt:lpstr>
      <vt:lpstr>F-SP-PV-07</vt:lpstr>
    </vt:vector>
  </TitlesOfParts>
  <Company>CPMA</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F-SP-PV-07</dc:title>
  <dc:subject/>
  <dc:creator>jovita-r</dc:creator>
  <cp:keywords/>
  <cp:lastModifiedBy>Ivana Mesić</cp:lastModifiedBy>
  <cp:revision>15</cp:revision>
  <cp:lastPrinted>2013-07-18T09:26:00Z</cp:lastPrinted>
  <dcterms:created xsi:type="dcterms:W3CDTF">2021-12-21T06:55:00Z</dcterms:created>
  <dcterms:modified xsi:type="dcterms:W3CDTF">2022-10-03T18:17:00Z</dcterms:modified>
</cp:coreProperties>
</file>