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bookmarkStart w:id="1" w:name="_GoBack"/>
      <w:bookmarkEnd w:id="1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3CC47D43" w14:textId="32DB4B58" w:rsidR="00DE2577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>DOKAZIVANJE INOVATIVNOG KONCEPTA</w:t>
      </w:r>
    </w:p>
    <w:p w14:paraId="59064B74" w14:textId="7794619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>(</w:t>
      </w:r>
      <w:r w:rsidRPr="00D8175C">
        <w:rPr>
          <w:rFonts w:ascii="Times New Roman" w:hAnsi="Times New Roman"/>
          <w:b/>
          <w:i/>
          <w:sz w:val="24"/>
          <w:szCs w:val="24"/>
        </w:rPr>
        <w:t>referentni broj:</w:t>
      </w:r>
      <w:r w:rsidR="005849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7131" w:rsidRPr="00627131">
        <w:rPr>
          <w:rFonts w:ascii="Times New Roman" w:hAnsi="Times New Roman"/>
          <w:b/>
          <w:i/>
          <w:sz w:val="24"/>
          <w:szCs w:val="24"/>
        </w:rPr>
        <w:t>C3.2.R3-I1.01</w:t>
      </w:r>
      <w:r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6121BC98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3B719B" w:rsidRPr="003B719B">
        <w:rPr>
          <w:rFonts w:ascii="Times New Roman" w:hAnsi="Times New Roman"/>
          <w:b/>
          <w:bCs/>
          <w:color w:val="171796"/>
          <w:sz w:val="28"/>
          <w:szCs w:val="40"/>
        </w:rPr>
        <w:t>10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114F55E1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 ZA ZNANSTVENE ORGANIZACIJE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27867A7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dokument pojašnjava metodologiju primjene pojednostavljene metode financiranja, odnosno izračuna standardne veličine jediničnog troška osoblja za </w:t>
      </w:r>
      <w:r w:rsidR="00317EF4">
        <w:rPr>
          <w:rFonts w:ascii="Times New Roman" w:hAnsi="Times New Roman"/>
          <w:sz w:val="24"/>
          <w:szCs w:val="24"/>
        </w:rPr>
        <w:t xml:space="preserve">javne </w:t>
      </w:r>
      <w:r w:rsidR="00082615">
        <w:rPr>
          <w:rFonts w:ascii="Times New Roman" w:hAnsi="Times New Roman"/>
          <w:sz w:val="24"/>
          <w:szCs w:val="24"/>
        </w:rPr>
        <w:t>istraživačke organizacije.</w:t>
      </w:r>
      <w:r w:rsidR="00317EF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4BE72DD9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okumenti (akti) temeljem kojih se utvrđuje iznos bruto plaće  - ugovor/i o radu i pripadajući dodaci ugovoru o radu;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6E45F557" w14:textId="28BDF285" w:rsidR="009D064A" w:rsidRPr="00F40B67" w:rsidRDefault="00F40B67" w:rsidP="00F40B67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Potvrda o isplati plaće: za istraživačke organizacije</w:t>
      </w:r>
      <w:r w:rsidRPr="009A3F84">
        <w:rPr>
          <w:rFonts w:ascii="Times New Roman" w:hAnsi="Times New Roman"/>
          <w:bCs/>
          <w:sz w:val="24"/>
          <w:szCs w:val="24"/>
        </w:rPr>
        <w:t xml:space="preserve"> kojima se plaće isplaćuju putem sustava centralnog obračuna plaća</w:t>
      </w:r>
      <w:r>
        <w:rPr>
          <w:rFonts w:ascii="Times New Roman" w:hAnsi="Times New Roman"/>
          <w:bCs/>
          <w:sz w:val="24"/>
          <w:szCs w:val="24"/>
        </w:rPr>
        <w:t xml:space="preserve"> dostavlja se obavijest o isplati objavljena na službenim mrežnim stranicama </w:t>
      </w:r>
      <w:r w:rsidRPr="00F40B67">
        <w:rPr>
          <w:rFonts w:ascii="Times New Roman" w:hAnsi="Times New Roman"/>
          <w:bCs/>
          <w:sz w:val="24"/>
          <w:szCs w:val="24"/>
        </w:rPr>
        <w:t>Ministarstva znanosti i obrazovanja</w:t>
      </w:r>
      <w:r>
        <w:rPr>
          <w:rFonts w:ascii="Times New Roman" w:hAnsi="Times New Roman"/>
          <w:bCs/>
          <w:sz w:val="24"/>
          <w:szCs w:val="24"/>
        </w:rPr>
        <w:t>, a za istraživačke organizacije koje nisu u sustavu centralnog obračuna plaća dostavlja se potvrda p</w:t>
      </w:r>
      <w:r w:rsidR="009D064A" w:rsidRPr="00F40B67">
        <w:rPr>
          <w:rFonts w:ascii="Times New Roman" w:hAnsi="Times New Roman"/>
          <w:bCs/>
          <w:sz w:val="24"/>
          <w:szCs w:val="24"/>
        </w:rPr>
        <w:t>orezne uprave o ispunjenju obveze plaćanja dospjelih poreznih obveza i obveza za mirovinsko i zdravstveno osiguranje ne starija od 30 (trideset) dana od datuma predaje projektnog prijedloga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EA9A0B3" w14:textId="4BF0F8FE" w:rsidR="00DE2577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8D09CA" w14:textId="3B4B9190" w:rsidR="00D860D4" w:rsidRPr="00D8175C" w:rsidRDefault="00D860D4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4CF888F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5864AFA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04F7E6E1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3DA6E1E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7D64EA" w14:textId="4A8BB7D0" w:rsidR="002F5637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lastRenderedPageBreak/>
        <w:t>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71B12D7" w14:textId="2410FF8B" w:rsidR="002F5637" w:rsidRDefault="002F563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 u javnim službama, a prije podnošenja projektnog prijedloga, prijavitelj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je sam dužan izračunati standardnu veličinu jediničnog troška plaće osoblja prema izmijenjenim podacima za izračun primjenom sljedećeg postupka: Bruto 2 x 12 / 1720.</w:t>
      </w:r>
    </w:p>
    <w:bookmarkEnd w:id="0"/>
    <w:p w14:paraId="14D6C011" w14:textId="77777777" w:rsidR="002F5637" w:rsidRDefault="002F5637" w:rsidP="00317EF4">
      <w:pPr>
        <w:spacing w:line="252" w:lineRule="auto"/>
        <w:jc w:val="both"/>
        <w:sectPr w:rsidR="002F5637" w:rsidSect="00581EF2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8C2D0B" w:rsidRPr="008C2D0B" w14:paraId="4CAC19FB" w14:textId="77777777" w:rsidTr="008C2D0B">
        <w:trPr>
          <w:trHeight w:val="300"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1D87B76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22D28F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7A92BA7C" w14:textId="7B5FDD4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95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6A09145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154F1E9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795F3495" w14:textId="175680C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HRK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6E3622D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5471418C" w14:textId="2DE4712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042ED5C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17EC76CC" w14:textId="13CC874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HRK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659628E7" w14:textId="77777777" w:rsidR="008C2D0B" w:rsidRPr="008C2D0B" w:rsidRDefault="008C2D0B" w:rsidP="008C2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</w:tc>
      </w:tr>
      <w:tr w:rsidR="008C2D0B" w:rsidRPr="008C2D0B" w14:paraId="0E1A566A" w14:textId="77777777" w:rsidTr="008C2D0B">
        <w:trPr>
          <w:trHeight w:val="300"/>
        </w:trPr>
        <w:tc>
          <w:tcPr>
            <w:tcW w:w="5242" w:type="dxa"/>
            <w:hideMark/>
          </w:tcPr>
          <w:p w14:paraId="0A6AF1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313" w:type="dxa"/>
            <w:noWrap/>
            <w:hideMark/>
          </w:tcPr>
          <w:p w14:paraId="43BEDF4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C87F68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5709E6D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1EAD19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1876E91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4D803E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70D84A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371DB6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noWrap/>
            <w:hideMark/>
          </w:tcPr>
          <w:p w14:paraId="61FACF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DF3FCE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43A43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A400D0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564104E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766350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3560FC5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CA76B4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6DCACCB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81B9D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766709E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9F478E6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62CF0B8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BFB5E6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657A6F3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BC8F0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30C81D6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1D60D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6A19298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25B82A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6BAF18C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37557BC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AF556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09565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72430F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1AD899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984DA5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B9566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4934B7F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6822C9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52268E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0913B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4451F6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AD3864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5FD3C21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C9B3D6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2A04FD8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C7EBCE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31AEFBD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41F1E1D" w14:textId="6D22250F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– profesor visoke škole, profesor visoke škole u trajnom </w:t>
            </w:r>
            <w:r w:rsidR="007953AC"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zvanju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ili viši predavač</w:t>
            </w:r>
          </w:p>
        </w:tc>
        <w:tc>
          <w:tcPr>
            <w:tcW w:w="1313" w:type="dxa"/>
            <w:noWrap/>
            <w:hideMark/>
          </w:tcPr>
          <w:p w14:paraId="48D321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6AE1D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  <w:hideMark/>
          </w:tcPr>
          <w:p w14:paraId="40A65F5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9A4AD6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4D9D1A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1F12DCD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2D0B" w:rsidRPr="008C2D0B" w14:paraId="405595A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100823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313" w:type="dxa"/>
            <w:noWrap/>
            <w:hideMark/>
          </w:tcPr>
          <w:p w14:paraId="2B9004F2" w14:textId="7BE640F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4F1A7BA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3,395</w:t>
            </w:r>
          </w:p>
        </w:tc>
        <w:tc>
          <w:tcPr>
            <w:tcW w:w="1313" w:type="dxa"/>
            <w:noWrap/>
            <w:hideMark/>
          </w:tcPr>
          <w:p w14:paraId="460670F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21.341,95</w:t>
            </w:r>
          </w:p>
        </w:tc>
        <w:tc>
          <w:tcPr>
            <w:tcW w:w="1311" w:type="dxa"/>
            <w:noWrap/>
            <w:hideMark/>
          </w:tcPr>
          <w:p w14:paraId="002774A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4B3708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24.863,38</w:t>
            </w:r>
          </w:p>
        </w:tc>
        <w:tc>
          <w:tcPr>
            <w:tcW w:w="1279" w:type="dxa"/>
            <w:noWrap/>
            <w:hideMark/>
          </w:tcPr>
          <w:p w14:paraId="72F1C66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173,47</w:t>
            </w:r>
          </w:p>
        </w:tc>
      </w:tr>
      <w:tr w:rsidR="008C2D0B" w:rsidRPr="008C2D0B" w14:paraId="4192542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E5B03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313" w:type="dxa"/>
            <w:noWrap/>
            <w:hideMark/>
          </w:tcPr>
          <w:p w14:paraId="74ABE604" w14:textId="12893AF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1A41EA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313" w:type="dxa"/>
            <w:noWrap/>
            <w:hideMark/>
          </w:tcPr>
          <w:p w14:paraId="1039394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20.732,18</w:t>
            </w:r>
          </w:p>
        </w:tc>
        <w:tc>
          <w:tcPr>
            <w:tcW w:w="1311" w:type="dxa"/>
            <w:noWrap/>
            <w:hideMark/>
          </w:tcPr>
          <w:p w14:paraId="7E57F4C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F561EF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24.152,99</w:t>
            </w:r>
          </w:p>
        </w:tc>
        <w:tc>
          <w:tcPr>
            <w:tcW w:w="1279" w:type="dxa"/>
            <w:noWrap/>
            <w:hideMark/>
          </w:tcPr>
          <w:p w14:paraId="75EDDF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168,51</w:t>
            </w:r>
          </w:p>
        </w:tc>
      </w:tr>
      <w:tr w:rsidR="008C2D0B" w:rsidRPr="008C2D0B" w14:paraId="65E660F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B34DF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313" w:type="dxa"/>
            <w:noWrap/>
            <w:hideMark/>
          </w:tcPr>
          <w:p w14:paraId="6AC39303" w14:textId="6241F8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6BEBCB7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313" w:type="dxa"/>
            <w:noWrap/>
            <w:hideMark/>
          </w:tcPr>
          <w:p w14:paraId="4FE91A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20.122,41</w:t>
            </w:r>
          </w:p>
        </w:tc>
        <w:tc>
          <w:tcPr>
            <w:tcW w:w="1311" w:type="dxa"/>
            <w:noWrap/>
            <w:hideMark/>
          </w:tcPr>
          <w:p w14:paraId="3CAB6A6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71E0EE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23.442,61</w:t>
            </w:r>
          </w:p>
        </w:tc>
        <w:tc>
          <w:tcPr>
            <w:tcW w:w="1279" w:type="dxa"/>
            <w:noWrap/>
            <w:hideMark/>
          </w:tcPr>
          <w:p w14:paraId="772F1FD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163,55</w:t>
            </w:r>
          </w:p>
        </w:tc>
      </w:tr>
      <w:tr w:rsidR="008C2D0B" w:rsidRPr="008C2D0B" w14:paraId="3160AD5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222AAF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noWrap/>
            <w:hideMark/>
          </w:tcPr>
          <w:p w14:paraId="17067BC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EC7999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A5D4D2A" w14:textId="605AA3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8662D61" w14:textId="512A570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2E7DC73" w14:textId="7006D51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00E513" w14:textId="11A7DE4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3BF7D9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E6DF9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081C567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22CAB1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6ACE8ED" w14:textId="34F22FE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27095D3" w14:textId="5035A47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430B5AA" w14:textId="24D9BD0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BB617E5" w14:textId="104AE90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C4887E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440E13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780BF38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D89B2D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69EE29C" w14:textId="43191B7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86841EE" w14:textId="3C8B326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2B61756" w14:textId="23C7A17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EAA09D8" w14:textId="4A25B61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C6EC90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5915F2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44FB95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2A292B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1E40439" w14:textId="0660F9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382D4F4" w14:textId="05BEDE4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D3061BF" w14:textId="3CC8FDD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4228C57" w14:textId="353E943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C4E413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123398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1F62F964" w14:textId="2ACFF13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30622C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0D7128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49185D9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6CA6E2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5EF085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2927808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29BC3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313" w:type="dxa"/>
            <w:noWrap/>
            <w:hideMark/>
          </w:tcPr>
          <w:p w14:paraId="6925876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FC77D8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326EC4D" w14:textId="20F1E5E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43F40F" w14:textId="44D455F1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4F68BC3" w14:textId="653F34A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15C9E09" w14:textId="5141D2C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783EE2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B7AC34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5FA1C3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BDE56B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BB18165" w14:textId="1B7082A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3BDF481" w14:textId="4808FA2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959D999" w14:textId="3097BBB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6FD892A" w14:textId="7B0CAEB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1D4324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B53CBC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58BD25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B5841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3C6C9E8" w14:textId="753411D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C3C9123" w14:textId="3334372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A98CCF8" w14:textId="0D19D60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2FC3D9C" w14:textId="46502EA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ED93EC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99DF3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7E15BA9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2A3283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84B84CC" w14:textId="2249780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43281BE" w14:textId="49AA389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0A824A0" w14:textId="42C639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D91D65C" w14:textId="699CE33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3BF4FC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4AD48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24C71BE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5871C7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B5B6150" w14:textId="5D67DB6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B1055D" w14:textId="183C53C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127AFAF" w14:textId="3655E4E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A8B7974" w14:textId="778EA4D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065824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D6455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3,298</w:t>
            </w:r>
          </w:p>
        </w:tc>
        <w:tc>
          <w:tcPr>
            <w:tcW w:w="1313" w:type="dxa"/>
            <w:noWrap/>
            <w:hideMark/>
          </w:tcPr>
          <w:p w14:paraId="6D241E39" w14:textId="5D24F8F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DA855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313" w:type="dxa"/>
            <w:noWrap/>
            <w:hideMark/>
          </w:tcPr>
          <w:p w14:paraId="5DD5FC4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20.732,18</w:t>
            </w:r>
          </w:p>
        </w:tc>
        <w:tc>
          <w:tcPr>
            <w:tcW w:w="1311" w:type="dxa"/>
            <w:noWrap/>
            <w:hideMark/>
          </w:tcPr>
          <w:p w14:paraId="753CC36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7203CE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24.152,99</w:t>
            </w:r>
          </w:p>
        </w:tc>
        <w:tc>
          <w:tcPr>
            <w:tcW w:w="1279" w:type="dxa"/>
            <w:noWrap/>
            <w:hideMark/>
          </w:tcPr>
          <w:p w14:paraId="6ACE1E1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168,51</w:t>
            </w:r>
          </w:p>
        </w:tc>
      </w:tr>
      <w:tr w:rsidR="008C2D0B" w:rsidRPr="008C2D0B" w14:paraId="1A0949C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1444F9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noWrap/>
            <w:hideMark/>
          </w:tcPr>
          <w:p w14:paraId="44AE0D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43F3D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92FA424" w14:textId="377091E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3B8F349" w14:textId="0B8CE66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95A1B2D" w14:textId="11EB50F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0D15727" w14:textId="7458E8E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3C1CF3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607CF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DA6B42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F59D41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4298E34" w14:textId="1A8E3DC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9414EA9" w14:textId="667E68F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9738735" w14:textId="59F6A75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016BF9E" w14:textId="749A2E7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FD77FD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D36468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063C2D3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DA05D9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C33614B" w14:textId="0CE2DF5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A284240" w14:textId="7E11D344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828071" w14:textId="04D86E7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A865E2C" w14:textId="5DE3BD0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DEF0BA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95074B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E9A2BA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B8A89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CCCC4CF" w14:textId="323694C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A7356E" w14:textId="46908B2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7B99D18" w14:textId="30AF0CF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6CC7D48" w14:textId="769E444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6C440B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69EA6A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F6B920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CCF10E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EC95F3E" w14:textId="29610B0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E578CD6" w14:textId="0FA789E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FC2DA3C" w14:textId="795A136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13B3099" w14:textId="72F6990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ECFBB3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1F36B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6280F6F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88FF3B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586A3D5" w14:textId="75D1859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947D3C1" w14:textId="0037C01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39387DB" w14:textId="7757D94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DCF8FE2" w14:textId="0AF1BF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013F83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4D752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2094735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A1AD67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2A22343" w14:textId="61C9C54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12FBCBF" w14:textId="3B12F83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68CB85" w14:textId="15DC2F6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25488E1" w14:textId="01FE5A5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5C81EF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26B6C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313" w:type="dxa"/>
            <w:noWrap/>
            <w:hideMark/>
          </w:tcPr>
          <w:p w14:paraId="5D3E540B" w14:textId="0F0DD2A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B2B17E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313" w:type="dxa"/>
            <w:noWrap/>
            <w:hideMark/>
          </w:tcPr>
          <w:p w14:paraId="7F4157C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20.122,41</w:t>
            </w:r>
          </w:p>
        </w:tc>
        <w:tc>
          <w:tcPr>
            <w:tcW w:w="1311" w:type="dxa"/>
            <w:noWrap/>
            <w:hideMark/>
          </w:tcPr>
          <w:p w14:paraId="08D0689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E49753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23.442,61</w:t>
            </w:r>
          </w:p>
        </w:tc>
        <w:tc>
          <w:tcPr>
            <w:tcW w:w="1279" w:type="dxa"/>
            <w:noWrap/>
            <w:hideMark/>
          </w:tcPr>
          <w:p w14:paraId="2321E12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163,55</w:t>
            </w:r>
          </w:p>
        </w:tc>
      </w:tr>
      <w:tr w:rsidR="008C2D0B" w:rsidRPr="008C2D0B" w14:paraId="032B423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957C1B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313" w:type="dxa"/>
            <w:noWrap/>
            <w:hideMark/>
          </w:tcPr>
          <w:p w14:paraId="46B066B9" w14:textId="52657B8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86192B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524713B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0BCCDA4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DDC9F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739A57E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57BDB2B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D96FC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313" w:type="dxa"/>
            <w:noWrap/>
            <w:hideMark/>
          </w:tcPr>
          <w:p w14:paraId="145955FD" w14:textId="225289A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424490B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5B71ADF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332B36D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BE2CD3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66E76FE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05C7168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37EB5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noWrap/>
            <w:hideMark/>
          </w:tcPr>
          <w:p w14:paraId="4F0F96B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414B52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976837E" w14:textId="2280344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29F48F2" w14:textId="62423F3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3BE5365" w14:textId="4B8256A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791F740" w14:textId="14A2FA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1FD611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B765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33B5056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29DD5A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C1A4434" w14:textId="17DFD62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B7653E" w14:textId="735B7D3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4B3DA02" w14:textId="0A22C7E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2BF5A71" w14:textId="2B62D8C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CB55AD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0837AF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F12138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382FC4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316035E" w14:textId="4217DD7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E8C0E7C" w14:textId="785A7A6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E145CA7" w14:textId="70689CF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E332F95" w14:textId="0127D6D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699FF8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469EF2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6F085B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EBC364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57AC984" w14:textId="3F6E74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2917544" w14:textId="2D6965A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14C80E7" w14:textId="512FAF6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EF9F788" w14:textId="289758A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68A18F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CED108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313" w:type="dxa"/>
            <w:noWrap/>
            <w:hideMark/>
          </w:tcPr>
          <w:p w14:paraId="3D9FB1C8" w14:textId="1D7DB89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2741BF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2B6202E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6A1599B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9B7578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69A694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2ABD41F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AED046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313" w:type="dxa"/>
            <w:noWrap/>
            <w:hideMark/>
          </w:tcPr>
          <w:p w14:paraId="21CE34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BE8AD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EE27336" w14:textId="0CA7A88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06AD588" w14:textId="3915995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D8E8013" w14:textId="6869ACC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ED41F2F" w14:textId="0B76D22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1B9C0B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997F0D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14FFB2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06C507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657DBC4" w14:textId="5C15F0C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396D5AE" w14:textId="114D432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C904822" w14:textId="60CF71C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62C049D" w14:textId="16F8C5F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7C92DC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E2329D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1608CC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A8D1D6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2AEEB50" w14:textId="2041BB2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B863A8C" w14:textId="3501C72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780E892" w14:textId="076E7EC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7670F78" w14:textId="50C3ED2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A72BA6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BED4A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193E1DF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F0FD5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D819AF5" w14:textId="11FC2DF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0227D27" w14:textId="52BF5A6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627F3F9" w14:textId="0C27178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5C750C8" w14:textId="14B5591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B09F7D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E6619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6DD9DA1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9043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E7E3B0C" w14:textId="71BD8A6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BABF582" w14:textId="749ACD2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EF62DE8" w14:textId="5DA095A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4BE12B" w14:textId="127CED1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287199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87545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313" w:type="dxa"/>
            <w:noWrap/>
            <w:hideMark/>
          </w:tcPr>
          <w:p w14:paraId="15EE7BCC" w14:textId="407FCC9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91008E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7731ED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51626D1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7FFF9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42109DE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770181D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3EE5C5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pročelnik sveučilišnog odjela</w:t>
            </w:r>
          </w:p>
        </w:tc>
        <w:tc>
          <w:tcPr>
            <w:tcW w:w="1313" w:type="dxa"/>
            <w:noWrap/>
            <w:hideMark/>
          </w:tcPr>
          <w:p w14:paraId="4A58B02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76A6D0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8E5B3D5" w14:textId="0D6797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F30C9BE" w14:textId="499C54A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DB87649" w14:textId="48BE5A5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89E9686" w14:textId="0F72F8C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93DD09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FE0372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7AFD5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F936BD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59D9855" w14:textId="6505F59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9E9E4AC" w14:textId="6B13789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CF6749F" w14:textId="7B18376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5E4E54E" w14:textId="5A3D41F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E02171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3789A1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4BCE8C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E3C0F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126252D" w14:textId="6295152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F6CE047" w14:textId="3D39844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EE4CEB8" w14:textId="6D7F06E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ADB66C3" w14:textId="30ACBA9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16B3E6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3C956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3C3DB97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701B51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78E2F65" w14:textId="0968F11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4BCF3F4" w14:textId="18D39E34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FE7D5AC" w14:textId="324EEC7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BFCEF0A" w14:textId="0C584B5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A09C81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A44F0B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51D3A8BF" w14:textId="781767C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FFD82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313" w:type="dxa"/>
            <w:noWrap/>
            <w:hideMark/>
          </w:tcPr>
          <w:p w14:paraId="7B815DA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19.814,39</w:t>
            </w:r>
          </w:p>
        </w:tc>
        <w:tc>
          <w:tcPr>
            <w:tcW w:w="1311" w:type="dxa"/>
            <w:noWrap/>
            <w:hideMark/>
          </w:tcPr>
          <w:p w14:paraId="2CF373A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2A9150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23.083,76</w:t>
            </w:r>
          </w:p>
        </w:tc>
        <w:tc>
          <w:tcPr>
            <w:tcW w:w="1279" w:type="dxa"/>
            <w:noWrap/>
            <w:hideMark/>
          </w:tcPr>
          <w:p w14:paraId="7B997AD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161,05</w:t>
            </w:r>
          </w:p>
        </w:tc>
      </w:tr>
      <w:tr w:rsidR="008C2D0B" w:rsidRPr="008C2D0B" w14:paraId="3FBBBE3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44E19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noWrap/>
            <w:hideMark/>
          </w:tcPr>
          <w:p w14:paraId="733B332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12703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0C275C8" w14:textId="7467962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F2D21AC" w14:textId="49CA63E8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17176CF" w14:textId="1CAD921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8E7CD4D" w14:textId="19F665D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5C1E5B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07E1E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151B8C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72B38E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03405F6" w14:textId="4E104D2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56D57FBD" w14:textId="136CC00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792598A" w14:textId="193B4FB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481E1D8" w14:textId="44F8D6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1FCFD2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A96C4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24F471A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0B893F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4116071" w14:textId="76DD461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9ADB69A" w14:textId="7ECF6ED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8430CD5" w14:textId="1B574A7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F502DE2" w14:textId="626D6F6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7CA93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88E1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noWrap/>
            <w:hideMark/>
          </w:tcPr>
          <w:p w14:paraId="3B3A93F6" w14:textId="2A822CA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514B22C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4A8201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786EA0D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71C57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25429C8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177B5D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4753EB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noWrap/>
            <w:hideMark/>
          </w:tcPr>
          <w:p w14:paraId="30F487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FF614C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E888877" w14:textId="39AFFC1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6E7F31B" w14:textId="1527FA0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B661D4A" w14:textId="45E59F9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77E687E" w14:textId="21D6BB8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F2B6C7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C391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noWrap/>
            <w:hideMark/>
          </w:tcPr>
          <w:p w14:paraId="53A91594" w14:textId="08E076B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8AD9F0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57BA248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1B186B9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2E384A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3D65A30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00F756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FED5B9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0FE0610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F78F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D4EDD67" w14:textId="4131CA4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59062D4" w14:textId="74E99CD0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2C3183" w14:textId="3FB098F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D7447E7" w14:textId="2F67E45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9BFF4E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BBFBC0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noWrap/>
            <w:hideMark/>
          </w:tcPr>
          <w:p w14:paraId="759C6454" w14:textId="22FC1C8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BC1DA6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313" w:type="dxa"/>
            <w:noWrap/>
            <w:hideMark/>
          </w:tcPr>
          <w:p w14:paraId="26E532A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19.512,64</w:t>
            </w:r>
          </w:p>
        </w:tc>
        <w:tc>
          <w:tcPr>
            <w:tcW w:w="1311" w:type="dxa"/>
            <w:noWrap/>
            <w:hideMark/>
          </w:tcPr>
          <w:p w14:paraId="41D6280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FCBA20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22.732,23</w:t>
            </w:r>
          </w:p>
        </w:tc>
        <w:tc>
          <w:tcPr>
            <w:tcW w:w="1279" w:type="dxa"/>
            <w:noWrap/>
            <w:hideMark/>
          </w:tcPr>
          <w:p w14:paraId="521424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158,60</w:t>
            </w:r>
          </w:p>
        </w:tc>
      </w:tr>
      <w:tr w:rsidR="008C2D0B" w:rsidRPr="008C2D0B" w14:paraId="6FBFFE0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422541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noWrap/>
            <w:hideMark/>
          </w:tcPr>
          <w:p w14:paraId="34002BCE" w14:textId="4222464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59D3B9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313" w:type="dxa"/>
            <w:noWrap/>
            <w:hideMark/>
          </w:tcPr>
          <w:p w14:paraId="7C036A0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17.073,56</w:t>
            </w:r>
          </w:p>
        </w:tc>
        <w:tc>
          <w:tcPr>
            <w:tcW w:w="1311" w:type="dxa"/>
            <w:noWrap/>
            <w:hideMark/>
          </w:tcPr>
          <w:p w14:paraId="2A06FFB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98C9E1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19.890,70</w:t>
            </w:r>
          </w:p>
        </w:tc>
        <w:tc>
          <w:tcPr>
            <w:tcW w:w="1279" w:type="dxa"/>
            <w:noWrap/>
            <w:hideMark/>
          </w:tcPr>
          <w:p w14:paraId="5299C24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138,77</w:t>
            </w:r>
          </w:p>
        </w:tc>
      </w:tr>
      <w:tr w:rsidR="008C2D0B" w:rsidRPr="008C2D0B" w14:paraId="4CF6FDD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3814EA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noWrap/>
            <w:hideMark/>
          </w:tcPr>
          <w:p w14:paraId="02B2222D" w14:textId="7859FAD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6D5C7D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313" w:type="dxa"/>
            <w:noWrap/>
            <w:hideMark/>
          </w:tcPr>
          <w:p w14:paraId="5260D62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17.073,56</w:t>
            </w:r>
          </w:p>
        </w:tc>
        <w:tc>
          <w:tcPr>
            <w:tcW w:w="1311" w:type="dxa"/>
            <w:noWrap/>
            <w:hideMark/>
          </w:tcPr>
          <w:p w14:paraId="6805875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72590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19.890,70</w:t>
            </w:r>
          </w:p>
        </w:tc>
        <w:tc>
          <w:tcPr>
            <w:tcW w:w="1279" w:type="dxa"/>
            <w:noWrap/>
            <w:hideMark/>
          </w:tcPr>
          <w:p w14:paraId="371C1FA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138,77</w:t>
            </w:r>
          </w:p>
        </w:tc>
      </w:tr>
      <w:tr w:rsidR="008C2D0B" w:rsidRPr="008C2D0B" w14:paraId="131E049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A7424F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313" w:type="dxa"/>
            <w:noWrap/>
            <w:hideMark/>
          </w:tcPr>
          <w:p w14:paraId="14BA58F2" w14:textId="7B2BF42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4BF2E72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313" w:type="dxa"/>
            <w:noWrap/>
            <w:hideMark/>
          </w:tcPr>
          <w:p w14:paraId="409A6F3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14.634,48</w:t>
            </w:r>
          </w:p>
        </w:tc>
        <w:tc>
          <w:tcPr>
            <w:tcW w:w="1311" w:type="dxa"/>
            <w:noWrap/>
            <w:hideMark/>
          </w:tcPr>
          <w:p w14:paraId="7FA9D66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193924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17.049,17</w:t>
            </w:r>
          </w:p>
        </w:tc>
        <w:tc>
          <w:tcPr>
            <w:tcW w:w="1279" w:type="dxa"/>
            <w:noWrap/>
            <w:hideMark/>
          </w:tcPr>
          <w:p w14:paraId="055E70E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118,95</w:t>
            </w:r>
          </w:p>
        </w:tc>
      </w:tr>
      <w:tr w:rsidR="008C2D0B" w:rsidRPr="008C2D0B" w14:paraId="4462CE6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1A3EBC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313" w:type="dxa"/>
            <w:noWrap/>
            <w:hideMark/>
          </w:tcPr>
          <w:p w14:paraId="0899FF7A" w14:textId="413C347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6EAA34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313" w:type="dxa"/>
            <w:noWrap/>
            <w:hideMark/>
          </w:tcPr>
          <w:p w14:paraId="42874D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14.634,48</w:t>
            </w:r>
          </w:p>
        </w:tc>
        <w:tc>
          <w:tcPr>
            <w:tcW w:w="1311" w:type="dxa"/>
            <w:noWrap/>
            <w:hideMark/>
          </w:tcPr>
          <w:p w14:paraId="5BB5E4A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C11000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17.049,17</w:t>
            </w:r>
          </w:p>
        </w:tc>
        <w:tc>
          <w:tcPr>
            <w:tcW w:w="1279" w:type="dxa"/>
            <w:noWrap/>
            <w:hideMark/>
          </w:tcPr>
          <w:p w14:paraId="633A087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118,95</w:t>
            </w:r>
          </w:p>
        </w:tc>
      </w:tr>
      <w:tr w:rsidR="008C2D0B" w:rsidRPr="008C2D0B" w14:paraId="4F9A102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D95798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313" w:type="dxa"/>
            <w:noWrap/>
            <w:hideMark/>
          </w:tcPr>
          <w:p w14:paraId="0A64BCD0" w14:textId="1563157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55AC3FF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4C1DEC3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32FC213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934B5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66BF2F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0CB0F62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6AC7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313" w:type="dxa"/>
            <w:noWrap/>
            <w:hideMark/>
          </w:tcPr>
          <w:p w14:paraId="6F6D40C5" w14:textId="48DC4AD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4D5AB74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2C37215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5A07306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D85D1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677849B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6A418A4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BE1107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 2,134</w:t>
            </w:r>
          </w:p>
        </w:tc>
        <w:tc>
          <w:tcPr>
            <w:tcW w:w="1313" w:type="dxa"/>
            <w:noWrap/>
            <w:hideMark/>
          </w:tcPr>
          <w:p w14:paraId="044253B8" w14:textId="387ACD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F92784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313" w:type="dxa"/>
            <w:noWrap/>
            <w:hideMark/>
          </w:tcPr>
          <w:p w14:paraId="311C619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13.414,94</w:t>
            </w:r>
          </w:p>
        </w:tc>
        <w:tc>
          <w:tcPr>
            <w:tcW w:w="1311" w:type="dxa"/>
            <w:noWrap/>
            <w:hideMark/>
          </w:tcPr>
          <w:p w14:paraId="28D8504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8D2B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15.628,41</w:t>
            </w:r>
          </w:p>
        </w:tc>
        <w:tc>
          <w:tcPr>
            <w:tcW w:w="1279" w:type="dxa"/>
            <w:noWrap/>
            <w:hideMark/>
          </w:tcPr>
          <w:p w14:paraId="7BD6608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109,04</w:t>
            </w:r>
          </w:p>
        </w:tc>
      </w:tr>
      <w:tr w:rsidR="008C2D0B" w:rsidRPr="008C2D0B" w14:paraId="0D21A21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61EBC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noWrap/>
            <w:hideMark/>
          </w:tcPr>
          <w:p w14:paraId="1AA011E8" w14:textId="5C73F4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9DBC3A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313" w:type="dxa"/>
            <w:noWrap/>
            <w:hideMark/>
          </w:tcPr>
          <w:p w14:paraId="4EECC2D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10.975,86</w:t>
            </w:r>
          </w:p>
        </w:tc>
        <w:tc>
          <w:tcPr>
            <w:tcW w:w="1311" w:type="dxa"/>
            <w:noWrap/>
            <w:hideMark/>
          </w:tcPr>
          <w:p w14:paraId="6BFC8E2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2E616E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12.786,88</w:t>
            </w:r>
          </w:p>
        </w:tc>
        <w:tc>
          <w:tcPr>
            <w:tcW w:w="1279" w:type="dxa"/>
            <w:noWrap/>
            <w:hideMark/>
          </w:tcPr>
          <w:p w14:paraId="600A7B1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89,21</w:t>
            </w:r>
          </w:p>
        </w:tc>
      </w:tr>
      <w:tr w:rsidR="008C2D0B" w:rsidRPr="008C2D0B" w14:paraId="4B21E8C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E52FED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noWrap/>
            <w:hideMark/>
          </w:tcPr>
          <w:p w14:paraId="3106DBA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F24E72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5C40B45" w14:textId="7C8A337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CF14315" w14:textId="2FE197D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EA787EC" w14:textId="17FF155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C1635FD" w14:textId="2E29E33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EB5F8E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EECDB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noWrap/>
            <w:hideMark/>
          </w:tcPr>
          <w:p w14:paraId="0FB3BE69" w14:textId="76013F7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D9C77B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313" w:type="dxa"/>
            <w:noWrap/>
            <w:hideMark/>
          </w:tcPr>
          <w:p w14:paraId="76A9A2C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19.204,62</w:t>
            </w:r>
          </w:p>
        </w:tc>
        <w:tc>
          <w:tcPr>
            <w:tcW w:w="1311" w:type="dxa"/>
            <w:noWrap/>
            <w:hideMark/>
          </w:tcPr>
          <w:p w14:paraId="64D7DEC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88B453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22.373,38</w:t>
            </w:r>
          </w:p>
        </w:tc>
        <w:tc>
          <w:tcPr>
            <w:tcW w:w="1279" w:type="dxa"/>
            <w:noWrap/>
            <w:hideMark/>
          </w:tcPr>
          <w:p w14:paraId="21EA90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156,09</w:t>
            </w:r>
          </w:p>
        </w:tc>
      </w:tr>
      <w:tr w:rsidR="008C2D0B" w:rsidRPr="008C2D0B" w14:paraId="3D7D70E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619B8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03B62B7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EAECAF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2ADA2A1" w14:textId="539959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A44AAD2" w14:textId="0EAE665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759F3D6" w14:textId="0FA3819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0EC1F66" w14:textId="5CE671A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15A33F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06160D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noWrap/>
            <w:hideMark/>
          </w:tcPr>
          <w:p w14:paraId="02CD6C9B" w14:textId="4917873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DCC2EE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313" w:type="dxa"/>
            <w:noWrap/>
            <w:hideMark/>
          </w:tcPr>
          <w:p w14:paraId="3D2F4CE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19.204,62</w:t>
            </w:r>
          </w:p>
        </w:tc>
        <w:tc>
          <w:tcPr>
            <w:tcW w:w="1311" w:type="dxa"/>
            <w:noWrap/>
            <w:hideMark/>
          </w:tcPr>
          <w:p w14:paraId="5AA5F842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C31DA9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22.373,38</w:t>
            </w:r>
          </w:p>
        </w:tc>
        <w:tc>
          <w:tcPr>
            <w:tcW w:w="1279" w:type="dxa"/>
            <w:noWrap/>
            <w:hideMark/>
          </w:tcPr>
          <w:p w14:paraId="0F9C7C5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156,09</w:t>
            </w:r>
          </w:p>
        </w:tc>
      </w:tr>
      <w:tr w:rsidR="008C2D0B" w:rsidRPr="008C2D0B" w14:paraId="48E2237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C88BDA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noWrap/>
            <w:hideMark/>
          </w:tcPr>
          <w:p w14:paraId="24E0CCF2" w14:textId="3AD127E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5F23291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313" w:type="dxa"/>
            <w:noWrap/>
            <w:hideMark/>
          </w:tcPr>
          <w:p w14:paraId="62ED4F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16.463,79</w:t>
            </w:r>
          </w:p>
        </w:tc>
        <w:tc>
          <w:tcPr>
            <w:tcW w:w="1311" w:type="dxa"/>
            <w:noWrap/>
            <w:hideMark/>
          </w:tcPr>
          <w:p w14:paraId="450F8EAF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0E1975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19.180,32</w:t>
            </w:r>
          </w:p>
        </w:tc>
        <w:tc>
          <w:tcPr>
            <w:tcW w:w="1279" w:type="dxa"/>
            <w:noWrap/>
            <w:hideMark/>
          </w:tcPr>
          <w:p w14:paraId="6978585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133,82</w:t>
            </w:r>
          </w:p>
        </w:tc>
      </w:tr>
      <w:tr w:rsidR="008C2D0B" w:rsidRPr="008C2D0B" w14:paraId="3EF8F43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676E54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noWrap/>
            <w:hideMark/>
          </w:tcPr>
          <w:p w14:paraId="3A465086" w14:textId="11F0FF5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68BF0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313" w:type="dxa"/>
            <w:noWrap/>
            <w:hideMark/>
          </w:tcPr>
          <w:p w14:paraId="31A7BD6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16.463,79</w:t>
            </w:r>
          </w:p>
        </w:tc>
        <w:tc>
          <w:tcPr>
            <w:tcW w:w="1311" w:type="dxa"/>
            <w:noWrap/>
            <w:hideMark/>
          </w:tcPr>
          <w:p w14:paraId="0B19B618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6B677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19.180,32</w:t>
            </w:r>
          </w:p>
        </w:tc>
        <w:tc>
          <w:tcPr>
            <w:tcW w:w="1279" w:type="dxa"/>
            <w:noWrap/>
            <w:hideMark/>
          </w:tcPr>
          <w:p w14:paraId="576E56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133,82</w:t>
            </w:r>
          </w:p>
        </w:tc>
      </w:tr>
      <w:tr w:rsidR="008C2D0B" w:rsidRPr="008C2D0B" w14:paraId="5416D9A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BDD70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313" w:type="dxa"/>
            <w:noWrap/>
            <w:hideMark/>
          </w:tcPr>
          <w:p w14:paraId="60EEAA04" w14:textId="5E6EC0F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EFD352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313" w:type="dxa"/>
            <w:noWrap/>
            <w:hideMark/>
          </w:tcPr>
          <w:p w14:paraId="12EC902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14.024,71</w:t>
            </w:r>
          </w:p>
        </w:tc>
        <w:tc>
          <w:tcPr>
            <w:tcW w:w="1311" w:type="dxa"/>
            <w:noWrap/>
            <w:hideMark/>
          </w:tcPr>
          <w:p w14:paraId="1863EFF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FA3DA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16.338,79</w:t>
            </w:r>
          </w:p>
        </w:tc>
        <w:tc>
          <w:tcPr>
            <w:tcW w:w="1279" w:type="dxa"/>
            <w:noWrap/>
            <w:hideMark/>
          </w:tcPr>
          <w:p w14:paraId="371C4F3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113,99</w:t>
            </w:r>
          </w:p>
        </w:tc>
      </w:tr>
      <w:tr w:rsidR="008C2D0B" w:rsidRPr="008C2D0B" w14:paraId="6B50450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BA7AC4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2,231</w:t>
            </w:r>
          </w:p>
        </w:tc>
        <w:tc>
          <w:tcPr>
            <w:tcW w:w="1313" w:type="dxa"/>
            <w:noWrap/>
            <w:hideMark/>
          </w:tcPr>
          <w:p w14:paraId="3A8857B6" w14:textId="391F138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B99C50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313" w:type="dxa"/>
            <w:noWrap/>
            <w:hideMark/>
          </w:tcPr>
          <w:p w14:paraId="7527495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14.024,71</w:t>
            </w:r>
          </w:p>
        </w:tc>
        <w:tc>
          <w:tcPr>
            <w:tcW w:w="1311" w:type="dxa"/>
            <w:noWrap/>
            <w:hideMark/>
          </w:tcPr>
          <w:p w14:paraId="7F35A59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81E45A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16.338,79</w:t>
            </w:r>
          </w:p>
        </w:tc>
        <w:tc>
          <w:tcPr>
            <w:tcW w:w="1279" w:type="dxa"/>
            <w:noWrap/>
            <w:hideMark/>
          </w:tcPr>
          <w:p w14:paraId="4C621F1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113,99</w:t>
            </w:r>
          </w:p>
        </w:tc>
      </w:tr>
      <w:tr w:rsidR="008C2D0B" w:rsidRPr="008C2D0B" w14:paraId="112AA59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175A8F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313" w:type="dxa"/>
            <w:noWrap/>
            <w:hideMark/>
          </w:tcPr>
          <w:p w14:paraId="19DFC9D9" w14:textId="47B05F2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94F539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3345967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0FAA189E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B7F208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270F4DD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3F22E5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C1FACA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313" w:type="dxa"/>
            <w:noWrap/>
            <w:hideMark/>
          </w:tcPr>
          <w:p w14:paraId="562F8D36" w14:textId="5E738F6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94924D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061705E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3C493E0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DCD88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136C5C7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0EC8CBF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8CCC97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noWrap/>
            <w:hideMark/>
          </w:tcPr>
          <w:p w14:paraId="23595DAE" w14:textId="7E10552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66B9D5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597F4D1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03BC962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D98EF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594D8A8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3B6946A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8468C6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noWrap/>
            <w:hideMark/>
          </w:tcPr>
          <w:p w14:paraId="5585A0BD" w14:textId="752027D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274518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1,697</w:t>
            </w:r>
          </w:p>
        </w:tc>
        <w:tc>
          <w:tcPr>
            <w:tcW w:w="1313" w:type="dxa"/>
            <w:noWrap/>
            <w:hideMark/>
          </w:tcPr>
          <w:p w14:paraId="4368338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10.667,83</w:t>
            </w:r>
          </w:p>
        </w:tc>
        <w:tc>
          <w:tcPr>
            <w:tcW w:w="1311" w:type="dxa"/>
            <w:noWrap/>
            <w:hideMark/>
          </w:tcPr>
          <w:p w14:paraId="0F8CD40E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8AFCEB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12.428,03</w:t>
            </w:r>
          </w:p>
        </w:tc>
        <w:tc>
          <w:tcPr>
            <w:tcW w:w="1279" w:type="dxa"/>
            <w:noWrap/>
            <w:hideMark/>
          </w:tcPr>
          <w:p w14:paraId="7B99193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86,71</w:t>
            </w:r>
          </w:p>
        </w:tc>
      </w:tr>
      <w:tr w:rsidR="008C2D0B" w:rsidRPr="008C2D0B" w14:paraId="613A948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0C8F95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 voditelj laborat., šef katedre</w:t>
            </w:r>
          </w:p>
        </w:tc>
        <w:tc>
          <w:tcPr>
            <w:tcW w:w="1313" w:type="dxa"/>
            <w:noWrap/>
            <w:hideMark/>
          </w:tcPr>
          <w:p w14:paraId="49127C0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52D41A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43CA273" w14:textId="186B0B2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530D623" w14:textId="434DBD7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D93FE0A" w14:textId="3CA5E4F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185B340" w14:textId="3D1A7FC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C07CE1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F622AE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414006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E5F991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4814AB2" w14:textId="75701F4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F1B56BF" w14:textId="1E59C891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6DBAD30" w14:textId="192793B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8FCF13" w14:textId="5D97871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FA32BB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279248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2C7C7F9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F3828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86F5815" w14:textId="42C6B88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293015D" w14:textId="5B2F5B1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CA7F732" w14:textId="22D833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2C30BA9" w14:textId="696D580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1EEC4F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1D0AC6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noWrap/>
            <w:hideMark/>
          </w:tcPr>
          <w:p w14:paraId="7D71AEBF" w14:textId="199C704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D49C75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3,007</w:t>
            </w:r>
          </w:p>
        </w:tc>
        <w:tc>
          <w:tcPr>
            <w:tcW w:w="1313" w:type="dxa"/>
            <w:noWrap/>
            <w:hideMark/>
          </w:tcPr>
          <w:p w14:paraId="6271AC2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18.902,87</w:t>
            </w:r>
          </w:p>
        </w:tc>
        <w:tc>
          <w:tcPr>
            <w:tcW w:w="1311" w:type="dxa"/>
            <w:noWrap/>
            <w:hideMark/>
          </w:tcPr>
          <w:p w14:paraId="3DE70414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29442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22.021,85</w:t>
            </w:r>
          </w:p>
        </w:tc>
        <w:tc>
          <w:tcPr>
            <w:tcW w:w="1279" w:type="dxa"/>
            <w:noWrap/>
            <w:hideMark/>
          </w:tcPr>
          <w:p w14:paraId="6CD7E81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153,64</w:t>
            </w:r>
          </w:p>
        </w:tc>
      </w:tr>
      <w:tr w:rsidR="008C2D0B" w:rsidRPr="008C2D0B" w14:paraId="00A59B2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00639A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 voditelj laborat., šef katedre</w:t>
            </w:r>
          </w:p>
        </w:tc>
        <w:tc>
          <w:tcPr>
            <w:tcW w:w="1313" w:type="dxa"/>
            <w:noWrap/>
            <w:hideMark/>
          </w:tcPr>
          <w:p w14:paraId="79DD946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494099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E41BB26" w14:textId="650E1E6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AB5AF52" w14:textId="2AF0703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713A2D8" w14:textId="73EB74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75B324D" w14:textId="5CA2FDB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C51E88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C3DDF4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1CABF59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BF9BA3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668817B" w14:textId="2D8675B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23C0E71" w14:textId="023E5D1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502FF30" w14:textId="7FD0A45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5F048AE9" w14:textId="69B27F7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58BF51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D51913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noWrap/>
            <w:hideMark/>
          </w:tcPr>
          <w:p w14:paraId="3D3D3B48" w14:textId="6C08E50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118117E" w14:textId="797255B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3" w:type="dxa"/>
            <w:noWrap/>
            <w:hideMark/>
          </w:tcPr>
          <w:p w14:paraId="436414E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16.155,77</w:t>
            </w:r>
          </w:p>
        </w:tc>
        <w:tc>
          <w:tcPr>
            <w:tcW w:w="1311" w:type="dxa"/>
            <w:noWrap/>
            <w:hideMark/>
          </w:tcPr>
          <w:p w14:paraId="7182746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4B94E4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18.821,47</w:t>
            </w:r>
          </w:p>
        </w:tc>
        <w:tc>
          <w:tcPr>
            <w:tcW w:w="1279" w:type="dxa"/>
            <w:noWrap/>
            <w:hideMark/>
          </w:tcPr>
          <w:p w14:paraId="43FC6A6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131,31</w:t>
            </w:r>
          </w:p>
        </w:tc>
      </w:tr>
      <w:tr w:rsidR="008C2D0B" w:rsidRPr="008C2D0B" w14:paraId="3ED30FB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546929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13. voditelj laborat., šef katedre</w:t>
            </w:r>
          </w:p>
        </w:tc>
        <w:tc>
          <w:tcPr>
            <w:tcW w:w="1313" w:type="dxa"/>
            <w:noWrap/>
            <w:hideMark/>
          </w:tcPr>
          <w:p w14:paraId="1F72111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60619E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31BE956" w14:textId="443F4A3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0D37A5C" w14:textId="65F6B30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C09E767" w14:textId="2E53F54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FF14EF" w14:textId="1A5E4A4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1342A2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20E686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3DC7DC2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754DE5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DE28F37" w14:textId="4AE8E3E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9D0222" w14:textId="0AFA99B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D677AF7" w14:textId="1D66C75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5E51A70" w14:textId="4B0F1A0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16703F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430B5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313" w:type="dxa"/>
            <w:noWrap/>
            <w:hideMark/>
          </w:tcPr>
          <w:p w14:paraId="1C16E059" w14:textId="6EAA5CF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4A984C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2,182</w:t>
            </w:r>
          </w:p>
        </w:tc>
        <w:tc>
          <w:tcPr>
            <w:tcW w:w="1313" w:type="dxa"/>
            <w:noWrap/>
            <w:hideMark/>
          </w:tcPr>
          <w:p w14:paraId="6657CD5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13.716,68</w:t>
            </w:r>
          </w:p>
        </w:tc>
        <w:tc>
          <w:tcPr>
            <w:tcW w:w="1311" w:type="dxa"/>
            <w:noWrap/>
            <w:hideMark/>
          </w:tcPr>
          <w:p w14:paraId="516C5C0A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513CDA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15.979,94</w:t>
            </w:r>
          </w:p>
        </w:tc>
        <w:tc>
          <w:tcPr>
            <w:tcW w:w="1279" w:type="dxa"/>
            <w:noWrap/>
            <w:hideMark/>
          </w:tcPr>
          <w:p w14:paraId="23C4D68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111,49</w:t>
            </w:r>
          </w:p>
        </w:tc>
      </w:tr>
      <w:tr w:rsidR="008C2D0B" w:rsidRPr="008C2D0B" w14:paraId="65E60A2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80FC51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14. voditelj laborat., šef katedre</w:t>
            </w:r>
          </w:p>
        </w:tc>
        <w:tc>
          <w:tcPr>
            <w:tcW w:w="1313" w:type="dxa"/>
            <w:noWrap/>
            <w:hideMark/>
          </w:tcPr>
          <w:p w14:paraId="1007E8B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A771ED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6E671E5" w14:textId="4096EE9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1AC57F3" w14:textId="0A38D02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BB6E57C" w14:textId="142FD63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8EA893" w14:textId="637B81C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66A2F8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51FA89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6A92CA4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C67969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D099FB6" w14:textId="61C07B2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540D613" w14:textId="27D9989D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36138EC" w14:textId="4F7A74A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3D17B0B" w14:textId="794B0E8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159D5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2AD784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33EB09F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AEB077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58AA1A0" w14:textId="30A5401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267237C" w14:textId="19A6D77B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9C913E7" w14:textId="32D7BE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720D662C" w14:textId="30406E6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0FC348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34220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313" w:type="dxa"/>
            <w:noWrap/>
            <w:hideMark/>
          </w:tcPr>
          <w:p w14:paraId="7AE38955" w14:textId="098F161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6186C8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1,988</w:t>
            </w:r>
          </w:p>
        </w:tc>
        <w:tc>
          <w:tcPr>
            <w:tcW w:w="1313" w:type="dxa"/>
            <w:noWrap/>
            <w:hideMark/>
          </w:tcPr>
          <w:p w14:paraId="7207569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12.497,14</w:t>
            </w:r>
          </w:p>
        </w:tc>
        <w:tc>
          <w:tcPr>
            <w:tcW w:w="1311" w:type="dxa"/>
            <w:noWrap/>
            <w:hideMark/>
          </w:tcPr>
          <w:p w14:paraId="1E92EFB9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6035DA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14.559,17</w:t>
            </w:r>
          </w:p>
        </w:tc>
        <w:tc>
          <w:tcPr>
            <w:tcW w:w="1279" w:type="dxa"/>
            <w:noWrap/>
            <w:hideMark/>
          </w:tcPr>
          <w:p w14:paraId="4A2CBA8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101,58</w:t>
            </w:r>
          </w:p>
        </w:tc>
      </w:tr>
      <w:tr w:rsidR="008C2D0B" w:rsidRPr="008C2D0B" w14:paraId="129178F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678832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15. voditelj laborat., šef katedre</w:t>
            </w:r>
          </w:p>
        </w:tc>
        <w:tc>
          <w:tcPr>
            <w:tcW w:w="1313" w:type="dxa"/>
            <w:noWrap/>
            <w:hideMark/>
          </w:tcPr>
          <w:p w14:paraId="684B392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8DCF89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039AE1E" w14:textId="66F78B8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7FD99900" w14:textId="369AAD4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9CF889D" w14:textId="4109F8C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9B8D35E" w14:textId="4E983A8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A713C9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D98D7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4214045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4F8353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11F0349" w14:textId="61F8D55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DCDBBBE" w14:textId="6A4130C5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8A85905" w14:textId="601D974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D6BC4FF" w14:textId="41B1E15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075D846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52EFB9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313" w:type="dxa"/>
            <w:noWrap/>
            <w:hideMark/>
          </w:tcPr>
          <w:p w14:paraId="4675F425" w14:textId="03F9CD7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623FCB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313" w:type="dxa"/>
            <w:noWrap/>
            <w:hideMark/>
          </w:tcPr>
          <w:p w14:paraId="1DA1F68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10.975,86</w:t>
            </w:r>
          </w:p>
        </w:tc>
        <w:tc>
          <w:tcPr>
            <w:tcW w:w="1311" w:type="dxa"/>
            <w:noWrap/>
            <w:hideMark/>
          </w:tcPr>
          <w:p w14:paraId="697C80C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86507F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12.786,88</w:t>
            </w:r>
          </w:p>
        </w:tc>
        <w:tc>
          <w:tcPr>
            <w:tcW w:w="1279" w:type="dxa"/>
            <w:noWrap/>
            <w:hideMark/>
          </w:tcPr>
          <w:p w14:paraId="06EE847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89,21</w:t>
            </w:r>
          </w:p>
        </w:tc>
      </w:tr>
      <w:tr w:rsidR="008C2D0B" w:rsidRPr="008C2D0B" w14:paraId="4355BCE4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9AC56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16. voditelj laborat., šef katedre</w:t>
            </w:r>
          </w:p>
        </w:tc>
        <w:tc>
          <w:tcPr>
            <w:tcW w:w="1313" w:type="dxa"/>
            <w:noWrap/>
            <w:hideMark/>
          </w:tcPr>
          <w:p w14:paraId="5378AD3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79A8CAB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5F136CF6" w14:textId="248AF0C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07480857" w14:textId="795748A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174A574" w14:textId="41A1DA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2FC47A8" w14:textId="221CB03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E90660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B3C4DE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313" w:type="dxa"/>
            <w:noWrap/>
            <w:hideMark/>
          </w:tcPr>
          <w:p w14:paraId="6385269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625D42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7449CF6F" w14:textId="38F08AC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EA7D6A6" w14:textId="0DBD79A6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7E28BED" w14:textId="0218D559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91ED2F8" w14:textId="0142FE0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14EE7712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4A831D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asistent 1,503</w:t>
            </w:r>
          </w:p>
        </w:tc>
        <w:tc>
          <w:tcPr>
            <w:tcW w:w="1313" w:type="dxa"/>
            <w:noWrap/>
            <w:hideMark/>
          </w:tcPr>
          <w:p w14:paraId="238D6152" w14:textId="2644EFE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1DB5A9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1,503</w:t>
            </w:r>
          </w:p>
        </w:tc>
        <w:tc>
          <w:tcPr>
            <w:tcW w:w="1313" w:type="dxa"/>
            <w:noWrap/>
            <w:hideMark/>
          </w:tcPr>
          <w:p w14:paraId="572DFCA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9.448,29</w:t>
            </w:r>
          </w:p>
        </w:tc>
        <w:tc>
          <w:tcPr>
            <w:tcW w:w="1311" w:type="dxa"/>
            <w:noWrap/>
            <w:hideMark/>
          </w:tcPr>
          <w:p w14:paraId="1A41C72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8819D5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11.007,26</w:t>
            </w:r>
          </w:p>
        </w:tc>
        <w:tc>
          <w:tcPr>
            <w:tcW w:w="1279" w:type="dxa"/>
            <w:noWrap/>
            <w:hideMark/>
          </w:tcPr>
          <w:p w14:paraId="4F7D4C8C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76,79</w:t>
            </w:r>
          </w:p>
        </w:tc>
      </w:tr>
      <w:tr w:rsidR="008C2D0B" w:rsidRPr="008C2D0B" w14:paraId="326BE07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B5AA9B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313" w:type="dxa"/>
            <w:noWrap/>
            <w:hideMark/>
          </w:tcPr>
          <w:p w14:paraId="002D592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6C0E8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19DD834" w14:textId="24BB5A2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F7C0427" w14:textId="53880883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03B82E07" w14:textId="7BBB17A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4BCA7EB6" w14:textId="7F0847E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60F6A7B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F8FE31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noWrap/>
            <w:hideMark/>
          </w:tcPr>
          <w:p w14:paraId="7E08C93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21C429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13334DC" w14:textId="41296BB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247F9086" w14:textId="7637439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CD82BCA" w14:textId="705489C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C14B1D3" w14:textId="427DD4A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93DC24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18E17C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313" w:type="dxa"/>
            <w:noWrap/>
            <w:hideMark/>
          </w:tcPr>
          <w:p w14:paraId="73336C35" w14:textId="0F213C9A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6CB269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2,958</w:t>
            </w:r>
          </w:p>
        </w:tc>
        <w:tc>
          <w:tcPr>
            <w:tcW w:w="1313" w:type="dxa"/>
            <w:noWrap/>
            <w:hideMark/>
          </w:tcPr>
          <w:p w14:paraId="0A933F2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18.594,85</w:t>
            </w:r>
          </w:p>
        </w:tc>
        <w:tc>
          <w:tcPr>
            <w:tcW w:w="1311" w:type="dxa"/>
            <w:noWrap/>
            <w:hideMark/>
          </w:tcPr>
          <w:p w14:paraId="4DEA70AB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5F11E1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21.663,00</w:t>
            </w:r>
          </w:p>
        </w:tc>
        <w:tc>
          <w:tcPr>
            <w:tcW w:w="1279" w:type="dxa"/>
            <w:noWrap/>
            <w:hideMark/>
          </w:tcPr>
          <w:p w14:paraId="7E1D687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151,14</w:t>
            </w:r>
          </w:p>
        </w:tc>
      </w:tr>
      <w:tr w:rsidR="008C2D0B" w:rsidRPr="008C2D0B" w14:paraId="44D0C0C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153BD7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noWrap/>
            <w:hideMark/>
          </w:tcPr>
          <w:p w14:paraId="64977E1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2CD946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3C3B911" w14:textId="3D59DD9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469FA61B" w14:textId="18ACEF02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B426FB" w14:textId="3504EAB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1B486ED6" w14:textId="6D17618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3C9A2FD5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77FDB7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313" w:type="dxa"/>
            <w:noWrap/>
            <w:hideMark/>
          </w:tcPr>
          <w:p w14:paraId="1F127FC1" w14:textId="15060F6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23BBD2B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2,425</w:t>
            </w:r>
          </w:p>
        </w:tc>
        <w:tc>
          <w:tcPr>
            <w:tcW w:w="1313" w:type="dxa"/>
            <w:noWrap/>
            <w:hideMark/>
          </w:tcPr>
          <w:p w14:paraId="778EF0B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15.244,25</w:t>
            </w:r>
          </w:p>
        </w:tc>
        <w:tc>
          <w:tcPr>
            <w:tcW w:w="1311" w:type="dxa"/>
            <w:noWrap/>
            <w:hideMark/>
          </w:tcPr>
          <w:p w14:paraId="41B5BEED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46A5C2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17.759,56</w:t>
            </w:r>
          </w:p>
        </w:tc>
        <w:tc>
          <w:tcPr>
            <w:tcW w:w="1279" w:type="dxa"/>
            <w:noWrap/>
            <w:hideMark/>
          </w:tcPr>
          <w:p w14:paraId="2F5DCD5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123,90</w:t>
            </w:r>
          </w:p>
        </w:tc>
      </w:tr>
      <w:tr w:rsidR="008C2D0B" w:rsidRPr="008C2D0B" w14:paraId="36630183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229D9F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noWrap/>
            <w:hideMark/>
          </w:tcPr>
          <w:p w14:paraId="1A9ACB0B" w14:textId="461F3B5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F6C2C5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313" w:type="dxa"/>
            <w:noWrap/>
            <w:hideMark/>
          </w:tcPr>
          <w:p w14:paraId="33ED805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12.805,17</w:t>
            </w:r>
          </w:p>
        </w:tc>
        <w:tc>
          <w:tcPr>
            <w:tcW w:w="1311" w:type="dxa"/>
            <w:noWrap/>
            <w:hideMark/>
          </w:tcPr>
          <w:p w14:paraId="39622E3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693402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14.918,03</w:t>
            </w:r>
          </w:p>
        </w:tc>
        <w:tc>
          <w:tcPr>
            <w:tcW w:w="1279" w:type="dxa"/>
            <w:noWrap/>
            <w:hideMark/>
          </w:tcPr>
          <w:p w14:paraId="5A10178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8C2D0B" w:rsidRPr="008C2D0B" w14:paraId="21790DA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F3DE14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noWrap/>
            <w:hideMark/>
          </w:tcPr>
          <w:p w14:paraId="53F7F65F" w14:textId="6C2F852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6AB3805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313" w:type="dxa"/>
            <w:noWrap/>
            <w:hideMark/>
          </w:tcPr>
          <w:p w14:paraId="034F5D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11.585,63</w:t>
            </w:r>
          </w:p>
        </w:tc>
        <w:tc>
          <w:tcPr>
            <w:tcW w:w="1311" w:type="dxa"/>
            <w:noWrap/>
            <w:hideMark/>
          </w:tcPr>
          <w:p w14:paraId="16C9880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C74F1C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13.497,26</w:t>
            </w:r>
          </w:p>
        </w:tc>
        <w:tc>
          <w:tcPr>
            <w:tcW w:w="1279" w:type="dxa"/>
            <w:noWrap/>
            <w:hideMark/>
          </w:tcPr>
          <w:p w14:paraId="3D6D343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94,17</w:t>
            </w:r>
          </w:p>
        </w:tc>
      </w:tr>
      <w:tr w:rsidR="008C2D0B" w:rsidRPr="008C2D0B" w14:paraId="408DB60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3C0D9A2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noWrap/>
            <w:hideMark/>
          </w:tcPr>
          <w:p w14:paraId="70E0C0BB" w14:textId="3CB5FB1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794EC6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313" w:type="dxa"/>
            <w:noWrap/>
            <w:hideMark/>
          </w:tcPr>
          <w:p w14:paraId="5E339D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11.585,63</w:t>
            </w:r>
          </w:p>
        </w:tc>
        <w:tc>
          <w:tcPr>
            <w:tcW w:w="1311" w:type="dxa"/>
            <w:noWrap/>
            <w:hideMark/>
          </w:tcPr>
          <w:p w14:paraId="7D1F41F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32982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13.497,26</w:t>
            </w:r>
          </w:p>
        </w:tc>
        <w:tc>
          <w:tcPr>
            <w:tcW w:w="1279" w:type="dxa"/>
            <w:noWrap/>
            <w:hideMark/>
          </w:tcPr>
          <w:p w14:paraId="370471C7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94,17</w:t>
            </w:r>
          </w:p>
        </w:tc>
      </w:tr>
      <w:tr w:rsidR="008C2D0B" w:rsidRPr="008C2D0B" w14:paraId="35EAB58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78E4454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 viši predavač, viši asistent, poslijedoktorand,</w:t>
            </w:r>
          </w:p>
        </w:tc>
        <w:tc>
          <w:tcPr>
            <w:tcW w:w="1313" w:type="dxa"/>
            <w:noWrap/>
            <w:hideMark/>
          </w:tcPr>
          <w:p w14:paraId="47E00D0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96190F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2F02A354" w14:textId="5478987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3409A78" w14:textId="043A87CE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3072B5FA" w14:textId="4A50438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BBBFD21" w14:textId="3B97D196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443731AD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841D98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noWrap/>
            <w:hideMark/>
          </w:tcPr>
          <w:p w14:paraId="6142C45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73359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33DACE19" w14:textId="41413E0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C21676D" w14:textId="49FE70FC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5889B256" w14:textId="237B3DC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8B8341" w14:textId="317D002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DDF74AF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47984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noWrap/>
            <w:hideMark/>
          </w:tcPr>
          <w:p w14:paraId="14D3734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EF93C9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0A961445" w14:textId="03DADAE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3A94635F" w14:textId="6965DCF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69B51837" w14:textId="25B69B0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636ED49D" w14:textId="7EF55B2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960E66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08C3BC2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obrazovanju 1,600</w:t>
            </w:r>
          </w:p>
        </w:tc>
        <w:tc>
          <w:tcPr>
            <w:tcW w:w="1313" w:type="dxa"/>
            <w:noWrap/>
            <w:hideMark/>
          </w:tcPr>
          <w:p w14:paraId="4EDD67AE" w14:textId="166AD48B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1EDF4EC3" w14:textId="7CE85E3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13" w:type="dxa"/>
            <w:noWrap/>
            <w:hideMark/>
          </w:tcPr>
          <w:p w14:paraId="77DD4C6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10.058,06</w:t>
            </w:r>
          </w:p>
        </w:tc>
        <w:tc>
          <w:tcPr>
            <w:tcW w:w="1311" w:type="dxa"/>
            <w:noWrap/>
            <w:hideMark/>
          </w:tcPr>
          <w:p w14:paraId="7FC9FDA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31442C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11.717,64</w:t>
            </w:r>
          </w:p>
        </w:tc>
        <w:tc>
          <w:tcPr>
            <w:tcW w:w="1279" w:type="dxa"/>
            <w:noWrap/>
            <w:hideMark/>
          </w:tcPr>
          <w:p w14:paraId="3B52FA8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81,75</w:t>
            </w:r>
          </w:p>
        </w:tc>
      </w:tr>
      <w:tr w:rsidR="008C2D0B" w:rsidRPr="008C2D0B" w14:paraId="39CEE24B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573EF7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 lektor 1,455</w:t>
            </w:r>
          </w:p>
        </w:tc>
        <w:tc>
          <w:tcPr>
            <w:tcW w:w="1313" w:type="dxa"/>
            <w:noWrap/>
            <w:hideMark/>
          </w:tcPr>
          <w:p w14:paraId="1BB64707" w14:textId="5C890C3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ACFA41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1,455</w:t>
            </w:r>
          </w:p>
        </w:tc>
        <w:tc>
          <w:tcPr>
            <w:tcW w:w="1313" w:type="dxa"/>
            <w:noWrap/>
            <w:hideMark/>
          </w:tcPr>
          <w:p w14:paraId="4AD8052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9.146,55</w:t>
            </w:r>
          </w:p>
        </w:tc>
        <w:tc>
          <w:tcPr>
            <w:tcW w:w="1311" w:type="dxa"/>
            <w:noWrap/>
            <w:hideMark/>
          </w:tcPr>
          <w:p w14:paraId="5C4AF62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2D2CEA0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10.655,73</w:t>
            </w:r>
          </w:p>
        </w:tc>
        <w:tc>
          <w:tcPr>
            <w:tcW w:w="1279" w:type="dxa"/>
            <w:noWrap/>
            <w:hideMark/>
          </w:tcPr>
          <w:p w14:paraId="2C4DA56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74,34</w:t>
            </w:r>
          </w:p>
        </w:tc>
      </w:tr>
      <w:tr w:rsidR="008C2D0B" w:rsidRPr="008C2D0B" w14:paraId="27724148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50CC1F7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noWrap/>
            <w:hideMark/>
          </w:tcPr>
          <w:p w14:paraId="41E0690E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92B20D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6697C161" w14:textId="736EF32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6E287F1" w14:textId="4C1F9A4A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1B86235C" w14:textId="22E5274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04074F1A" w14:textId="7E0BB9D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22802C8E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53F40C5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noWrap/>
            <w:hideMark/>
          </w:tcPr>
          <w:p w14:paraId="46A4A8B2" w14:textId="0170079F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5E89A6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313" w:type="dxa"/>
            <w:noWrap/>
            <w:hideMark/>
          </w:tcPr>
          <w:p w14:paraId="3778C7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8.838,52</w:t>
            </w:r>
          </w:p>
        </w:tc>
        <w:tc>
          <w:tcPr>
            <w:tcW w:w="1311" w:type="dxa"/>
            <w:noWrap/>
            <w:hideMark/>
          </w:tcPr>
          <w:p w14:paraId="2F9C71C7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FC59C5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10.296,88</w:t>
            </w:r>
          </w:p>
        </w:tc>
        <w:tc>
          <w:tcPr>
            <w:tcW w:w="1279" w:type="dxa"/>
            <w:noWrap/>
            <w:hideMark/>
          </w:tcPr>
          <w:p w14:paraId="7B0C50A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71,84</w:t>
            </w:r>
          </w:p>
        </w:tc>
      </w:tr>
      <w:tr w:rsidR="008C2D0B" w:rsidRPr="008C2D0B" w14:paraId="4BB1AA6C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A3A1B7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noWrap/>
            <w:hideMark/>
          </w:tcPr>
          <w:p w14:paraId="123CF3A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75B5F4C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1763D176" w14:textId="20929584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675017" w14:textId="153EAD7F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75787358" w14:textId="708ABB4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28EDF3E0" w14:textId="0272289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7F228F1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79E3C71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visokom obrazovanju 1,261</w:t>
            </w:r>
          </w:p>
        </w:tc>
        <w:tc>
          <w:tcPr>
            <w:tcW w:w="1313" w:type="dxa"/>
            <w:noWrap/>
            <w:hideMark/>
          </w:tcPr>
          <w:p w14:paraId="325A106E" w14:textId="3539AE81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443519A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1,261</w:t>
            </w:r>
          </w:p>
        </w:tc>
        <w:tc>
          <w:tcPr>
            <w:tcW w:w="1313" w:type="dxa"/>
            <w:noWrap/>
            <w:hideMark/>
          </w:tcPr>
          <w:p w14:paraId="4426501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7.927,01</w:t>
            </w:r>
          </w:p>
        </w:tc>
        <w:tc>
          <w:tcPr>
            <w:tcW w:w="1311" w:type="dxa"/>
            <w:noWrap/>
            <w:hideMark/>
          </w:tcPr>
          <w:p w14:paraId="0CDB918C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E6B5FC1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9.234,97</w:t>
            </w:r>
          </w:p>
        </w:tc>
        <w:tc>
          <w:tcPr>
            <w:tcW w:w="1279" w:type="dxa"/>
            <w:noWrap/>
            <w:hideMark/>
          </w:tcPr>
          <w:p w14:paraId="58455C4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64,43</w:t>
            </w:r>
          </w:p>
        </w:tc>
      </w:tr>
      <w:tr w:rsidR="008C2D0B" w:rsidRPr="008C2D0B" w14:paraId="375B868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2019B03F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noWrap/>
            <w:hideMark/>
          </w:tcPr>
          <w:p w14:paraId="148B1CC2" w14:textId="411021D3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7DAF6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313" w:type="dxa"/>
            <w:noWrap/>
            <w:hideMark/>
          </w:tcPr>
          <w:p w14:paraId="664186A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8.838,52</w:t>
            </w:r>
          </w:p>
        </w:tc>
        <w:tc>
          <w:tcPr>
            <w:tcW w:w="1311" w:type="dxa"/>
            <w:noWrap/>
            <w:hideMark/>
          </w:tcPr>
          <w:p w14:paraId="7AD76020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8F92F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10.296,88</w:t>
            </w:r>
          </w:p>
        </w:tc>
        <w:tc>
          <w:tcPr>
            <w:tcW w:w="1279" w:type="dxa"/>
            <w:noWrap/>
            <w:hideMark/>
          </w:tcPr>
          <w:p w14:paraId="260560B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71,84</w:t>
            </w:r>
          </w:p>
        </w:tc>
      </w:tr>
      <w:tr w:rsidR="008C2D0B" w:rsidRPr="008C2D0B" w14:paraId="41CF5F3A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D439D5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313" w:type="dxa"/>
            <w:noWrap/>
            <w:hideMark/>
          </w:tcPr>
          <w:p w14:paraId="35F6E479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BA7CAB3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F181F93" w14:textId="1B74E64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6B802F7A" w14:textId="7E1F8D19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2FAA5CCC" w14:textId="3E131BD5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5B6D327" w14:textId="327E9B28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5A5BEFE7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4B8508AA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noWrap/>
            <w:hideMark/>
          </w:tcPr>
          <w:p w14:paraId="49AA3E5E" w14:textId="3C5641BC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2327897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1,067</w:t>
            </w:r>
          </w:p>
        </w:tc>
        <w:tc>
          <w:tcPr>
            <w:tcW w:w="1313" w:type="dxa"/>
            <w:noWrap/>
            <w:hideMark/>
          </w:tcPr>
          <w:p w14:paraId="3ED19AF5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6.707,47</w:t>
            </w:r>
          </w:p>
        </w:tc>
        <w:tc>
          <w:tcPr>
            <w:tcW w:w="1311" w:type="dxa"/>
            <w:noWrap/>
            <w:hideMark/>
          </w:tcPr>
          <w:p w14:paraId="0A328518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F28A643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7.814,20</w:t>
            </w:r>
          </w:p>
        </w:tc>
        <w:tc>
          <w:tcPr>
            <w:tcW w:w="1279" w:type="dxa"/>
            <w:noWrap/>
            <w:hideMark/>
          </w:tcPr>
          <w:p w14:paraId="657F292F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54,52</w:t>
            </w:r>
          </w:p>
        </w:tc>
      </w:tr>
      <w:tr w:rsidR="008C2D0B" w:rsidRPr="008C2D0B" w14:paraId="7C774C1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140F461D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313" w:type="dxa"/>
            <w:noWrap/>
            <w:hideMark/>
          </w:tcPr>
          <w:p w14:paraId="29018E2B" w14:textId="15BC782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3BB7D3F9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1,018</w:t>
            </w:r>
          </w:p>
        </w:tc>
        <w:tc>
          <w:tcPr>
            <w:tcW w:w="1313" w:type="dxa"/>
            <w:noWrap/>
            <w:hideMark/>
          </w:tcPr>
          <w:p w14:paraId="164BD4D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6.399,44</w:t>
            </w:r>
          </w:p>
        </w:tc>
        <w:tc>
          <w:tcPr>
            <w:tcW w:w="1311" w:type="dxa"/>
            <w:noWrap/>
            <w:hideMark/>
          </w:tcPr>
          <w:p w14:paraId="76303C33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3826E68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7.455,35</w:t>
            </w:r>
          </w:p>
        </w:tc>
        <w:tc>
          <w:tcPr>
            <w:tcW w:w="1279" w:type="dxa"/>
            <w:noWrap/>
            <w:hideMark/>
          </w:tcPr>
          <w:p w14:paraId="2DD26B9E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52,01</w:t>
            </w:r>
          </w:p>
        </w:tc>
      </w:tr>
      <w:tr w:rsidR="008C2D0B" w:rsidRPr="008C2D0B" w14:paraId="260A0180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07AED0F8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313" w:type="dxa"/>
            <w:noWrap/>
            <w:hideMark/>
          </w:tcPr>
          <w:p w14:paraId="58938000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A26BE6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3" w:type="dxa"/>
            <w:noWrap/>
          </w:tcPr>
          <w:p w14:paraId="4B121F9C" w14:textId="6CE088A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noWrap/>
          </w:tcPr>
          <w:p w14:paraId="11538156" w14:textId="2855566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noWrap/>
          </w:tcPr>
          <w:p w14:paraId="4B9575AA" w14:textId="096FFD4E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9" w:type="dxa"/>
            <w:noWrap/>
          </w:tcPr>
          <w:p w14:paraId="3FCFE827" w14:textId="6EB3F94D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D0B" w:rsidRPr="008C2D0B" w14:paraId="723E7376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8E86377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noWrap/>
            <w:hideMark/>
          </w:tcPr>
          <w:p w14:paraId="363CAF83" w14:textId="4E7AB5E0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512601EA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313" w:type="dxa"/>
            <w:noWrap/>
            <w:hideMark/>
          </w:tcPr>
          <w:p w14:paraId="3A24593B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6.097,70</w:t>
            </w:r>
          </w:p>
        </w:tc>
        <w:tc>
          <w:tcPr>
            <w:tcW w:w="1311" w:type="dxa"/>
            <w:noWrap/>
            <w:hideMark/>
          </w:tcPr>
          <w:p w14:paraId="1F800381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1321E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7.103,82</w:t>
            </w:r>
          </w:p>
        </w:tc>
        <w:tc>
          <w:tcPr>
            <w:tcW w:w="1279" w:type="dxa"/>
            <w:noWrap/>
            <w:hideMark/>
          </w:tcPr>
          <w:p w14:paraId="3207D9E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49,56</w:t>
            </w:r>
          </w:p>
        </w:tc>
      </w:tr>
      <w:tr w:rsidR="008C2D0B" w:rsidRPr="008C2D0B" w14:paraId="57E0ECE9" w14:textId="77777777" w:rsidTr="008C2D0B">
        <w:trPr>
          <w:trHeight w:val="300"/>
        </w:trPr>
        <w:tc>
          <w:tcPr>
            <w:tcW w:w="5242" w:type="dxa"/>
            <w:noWrap/>
            <w:hideMark/>
          </w:tcPr>
          <w:p w14:paraId="60E07731" w14:textId="77777777" w:rsidR="008C2D0B" w:rsidRPr="008C2D0B" w:rsidRDefault="008C2D0B" w:rsidP="008C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313" w:type="dxa"/>
            <w:noWrap/>
            <w:hideMark/>
          </w:tcPr>
          <w:p w14:paraId="1E49806C" w14:textId="6458B562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79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286,29</w:t>
            </w:r>
          </w:p>
        </w:tc>
        <w:tc>
          <w:tcPr>
            <w:tcW w:w="1311" w:type="dxa"/>
            <w:noWrap/>
            <w:hideMark/>
          </w:tcPr>
          <w:p w14:paraId="04D07F1D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0,873</w:t>
            </w:r>
          </w:p>
        </w:tc>
        <w:tc>
          <w:tcPr>
            <w:tcW w:w="1313" w:type="dxa"/>
            <w:noWrap/>
            <w:hideMark/>
          </w:tcPr>
          <w:p w14:paraId="4DA920C6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5.487,93</w:t>
            </w:r>
          </w:p>
        </w:tc>
        <w:tc>
          <w:tcPr>
            <w:tcW w:w="1311" w:type="dxa"/>
            <w:noWrap/>
            <w:hideMark/>
          </w:tcPr>
          <w:p w14:paraId="6C5B3055" w14:textId="77777777" w:rsidR="008C2D0B" w:rsidRPr="008C2D0B" w:rsidRDefault="008C2D0B" w:rsidP="008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15A1602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6.393,44</w:t>
            </w:r>
          </w:p>
        </w:tc>
        <w:tc>
          <w:tcPr>
            <w:tcW w:w="1279" w:type="dxa"/>
            <w:noWrap/>
            <w:hideMark/>
          </w:tcPr>
          <w:p w14:paraId="780AF834" w14:textId="77777777" w:rsidR="008C2D0B" w:rsidRPr="008C2D0B" w:rsidRDefault="008C2D0B" w:rsidP="008C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C2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44,61</w:t>
            </w:r>
          </w:p>
        </w:tc>
      </w:tr>
    </w:tbl>
    <w:p w14:paraId="1C75BFBA" w14:textId="4DECD2E2" w:rsidR="00E01C76" w:rsidRDefault="00E01C76" w:rsidP="00FC11A7">
      <w:pPr>
        <w:spacing w:line="252" w:lineRule="auto"/>
        <w:jc w:val="both"/>
      </w:pPr>
    </w:p>
    <w:sectPr w:rsidR="00E01C76" w:rsidSect="00317E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815D" w14:textId="77777777" w:rsidR="005F6E96" w:rsidRDefault="005F6E96" w:rsidP="00317EF4">
      <w:pPr>
        <w:spacing w:after="0" w:line="240" w:lineRule="auto"/>
      </w:pPr>
      <w:r>
        <w:separator/>
      </w:r>
    </w:p>
  </w:endnote>
  <w:endnote w:type="continuationSeparator" w:id="0">
    <w:p w14:paraId="3A079736" w14:textId="77777777" w:rsidR="005F6E96" w:rsidRDefault="005F6E96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860C2" w14:textId="5F5E6951" w:rsidR="005A5DFB" w:rsidRPr="003C3972" w:rsidRDefault="005A5DFB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D1D2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D1D2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5A5DFB" w:rsidRDefault="005A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9508C" w14:textId="77777777" w:rsidR="005F6E96" w:rsidRDefault="005F6E96" w:rsidP="00317EF4">
      <w:pPr>
        <w:spacing w:after="0" w:line="240" w:lineRule="auto"/>
      </w:pPr>
      <w:r>
        <w:separator/>
      </w:r>
    </w:p>
  </w:footnote>
  <w:footnote w:type="continuationSeparator" w:id="0">
    <w:p w14:paraId="297F7EE9" w14:textId="77777777" w:rsidR="005F6E96" w:rsidRDefault="005F6E96" w:rsidP="00317EF4">
      <w:pPr>
        <w:spacing w:after="0" w:line="240" w:lineRule="auto"/>
      </w:pPr>
      <w:r>
        <w:continuationSeparator/>
      </w:r>
    </w:p>
  </w:footnote>
  <w:footnote w:id="1">
    <w:p w14:paraId="2440D47E" w14:textId="7EA4ADAC" w:rsidR="005A5DFB" w:rsidRPr="00317EF4" w:rsidRDefault="005A5DFB" w:rsidP="00567576">
      <w:pPr>
        <w:pStyle w:val="FootnoteText"/>
        <w:jc w:val="both"/>
        <w:rPr>
          <w:rFonts w:ascii="Times New Roman" w:hAnsi="Times New Roman" w:cs="Times New Roman"/>
        </w:rPr>
      </w:pPr>
      <w:r w:rsidRPr="00567576">
        <w:rPr>
          <w:rStyle w:val="FootnoteReference"/>
          <w:rFonts w:ascii="Times New Roman" w:hAnsi="Times New Roman" w:cs="Times New Roman"/>
        </w:rPr>
        <w:footnoteRef/>
      </w:r>
      <w:r w:rsidRPr="00317EF4">
        <w:rPr>
          <w:rFonts w:ascii="Times New Roman" w:hAnsi="Times New Roman" w:cs="Times New Roman"/>
        </w:rPr>
        <w:t xml:space="preserve"> Za privatne istraživačke organizacije, izračun se vrši temelj</w:t>
      </w:r>
      <w:r>
        <w:rPr>
          <w:rFonts w:ascii="Times New Roman" w:hAnsi="Times New Roman" w:cs="Times New Roman"/>
        </w:rPr>
        <w:t>em postupka opisanog u Prilogu 9</w:t>
      </w:r>
      <w:r w:rsidRPr="00317EF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4196" w14:textId="2361968B" w:rsidR="005A5DFB" w:rsidRPr="00BD3AB9" w:rsidRDefault="005A5DFB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val="en-US"/>
      </w:rPr>
      <w:drawing>
        <wp:inline distT="0" distB="0" distL="0" distR="0" wp14:anchorId="7C1DCF3C" wp14:editId="1EA43665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val="en-US"/>
      </w:rPr>
      <w:drawing>
        <wp:inline distT="0" distB="0" distL="0" distR="0" wp14:anchorId="71D90F69" wp14:editId="2F3122D6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78E6FE32" w14:textId="4A8689CC" w:rsidR="005A5DFB" w:rsidRDefault="005A5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819"/>
    <w:multiLevelType w:val="hybridMultilevel"/>
    <w:tmpl w:val="187CC0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615"/>
    <w:rsid w:val="000A52EE"/>
    <w:rsid w:val="00102B5E"/>
    <w:rsid w:val="00147EE2"/>
    <w:rsid w:val="001A3F70"/>
    <w:rsid w:val="001B723D"/>
    <w:rsid w:val="001F09D2"/>
    <w:rsid w:val="002464E1"/>
    <w:rsid w:val="00294331"/>
    <w:rsid w:val="002D1E05"/>
    <w:rsid w:val="002F5637"/>
    <w:rsid w:val="00317EF4"/>
    <w:rsid w:val="003B719B"/>
    <w:rsid w:val="003C3972"/>
    <w:rsid w:val="00424017"/>
    <w:rsid w:val="00434D3F"/>
    <w:rsid w:val="00436440"/>
    <w:rsid w:val="0048465E"/>
    <w:rsid w:val="004D1D28"/>
    <w:rsid w:val="004F14BE"/>
    <w:rsid w:val="00567576"/>
    <w:rsid w:val="00581EF2"/>
    <w:rsid w:val="0058491C"/>
    <w:rsid w:val="005A5DFB"/>
    <w:rsid w:val="005D4D7C"/>
    <w:rsid w:val="005F6E96"/>
    <w:rsid w:val="00612596"/>
    <w:rsid w:val="00627131"/>
    <w:rsid w:val="006755F8"/>
    <w:rsid w:val="00767070"/>
    <w:rsid w:val="007953AC"/>
    <w:rsid w:val="007D7135"/>
    <w:rsid w:val="0087432D"/>
    <w:rsid w:val="008C2D0B"/>
    <w:rsid w:val="008F4376"/>
    <w:rsid w:val="00981AD6"/>
    <w:rsid w:val="009A3F84"/>
    <w:rsid w:val="009D064A"/>
    <w:rsid w:val="009E65B9"/>
    <w:rsid w:val="00A011BA"/>
    <w:rsid w:val="00A05DE5"/>
    <w:rsid w:val="00A06F8A"/>
    <w:rsid w:val="00AD7694"/>
    <w:rsid w:val="00B0010B"/>
    <w:rsid w:val="00B44515"/>
    <w:rsid w:val="00C85490"/>
    <w:rsid w:val="00D860D4"/>
    <w:rsid w:val="00DD2926"/>
    <w:rsid w:val="00DE2577"/>
    <w:rsid w:val="00DF255A"/>
    <w:rsid w:val="00E01C76"/>
    <w:rsid w:val="00E12734"/>
    <w:rsid w:val="00E228A9"/>
    <w:rsid w:val="00E276BA"/>
    <w:rsid w:val="00E41C1B"/>
    <w:rsid w:val="00E524A8"/>
    <w:rsid w:val="00EA270D"/>
    <w:rsid w:val="00EA2B0A"/>
    <w:rsid w:val="00EB0564"/>
    <w:rsid w:val="00F40B6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7953AC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nhideWhenUsed/>
    <w:rsid w:val="00D8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0D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D4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17"/>
    <w:rPr>
      <w:rFonts w:ascii="Segoe UI" w:eastAsiaTheme="minorEastAs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8EFC-5973-4AB8-98A7-D43A770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MZO</cp:lastModifiedBy>
  <cp:revision>7</cp:revision>
  <dcterms:created xsi:type="dcterms:W3CDTF">2022-08-02T12:54:00Z</dcterms:created>
  <dcterms:modified xsi:type="dcterms:W3CDTF">2022-08-23T13:47:00Z</dcterms:modified>
</cp:coreProperties>
</file>