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4579" w14:textId="141EA71A" w:rsidR="004079A1" w:rsidRPr="00FF33A5" w:rsidRDefault="004079A1" w:rsidP="004079A1">
      <w:pPr>
        <w:jc w:val="center"/>
        <w:rPr>
          <w:b/>
        </w:rPr>
      </w:pPr>
      <w:bookmarkStart w:id="0" w:name="_GoBack"/>
      <w:bookmarkEnd w:id="0"/>
      <w:r w:rsidRPr="00FF33A5">
        <w:rPr>
          <w:b/>
        </w:rPr>
        <w:t xml:space="preserve">Obrazac </w:t>
      </w:r>
      <w:r w:rsidR="005564E7">
        <w:rPr>
          <w:b/>
        </w:rPr>
        <w:t>7</w:t>
      </w:r>
      <w:r w:rsidR="00E81FE1" w:rsidRPr="00FF33A5">
        <w:rPr>
          <w:b/>
        </w:rPr>
        <w:t>.</w:t>
      </w:r>
    </w:p>
    <w:p w14:paraId="79591A04" w14:textId="77777777" w:rsidR="004079A1" w:rsidRDefault="004079A1" w:rsidP="00EB6910">
      <w:pPr>
        <w:rPr>
          <w:b/>
          <w:sz w:val="32"/>
          <w:szCs w:val="32"/>
        </w:rPr>
      </w:pPr>
    </w:p>
    <w:p w14:paraId="264644B6" w14:textId="37E222AD" w:rsidR="00EB6910" w:rsidRDefault="00197BF0" w:rsidP="00EB6910">
      <w:pPr>
        <w:rPr>
          <w:b/>
          <w:sz w:val="32"/>
          <w:szCs w:val="32"/>
        </w:rPr>
      </w:pPr>
      <w:r w:rsidRPr="00197BF0">
        <w:rPr>
          <w:b/>
          <w:sz w:val="32"/>
          <w:szCs w:val="32"/>
        </w:rPr>
        <w:t>C1.5.  Unaprjeđenje korištenja prirodnih resursa i jačanje lanca opskrbe hranom</w:t>
      </w:r>
    </w:p>
    <w:p w14:paraId="4292B768" w14:textId="77777777" w:rsidR="00197BF0" w:rsidRPr="00197BF0" w:rsidRDefault="00197BF0" w:rsidP="00EB6910">
      <w:pPr>
        <w:rPr>
          <w:b/>
          <w:bCs/>
          <w:sz w:val="32"/>
          <w:szCs w:val="32"/>
        </w:rPr>
      </w:pPr>
    </w:p>
    <w:p w14:paraId="52CC3C71" w14:textId="6AECC96A" w:rsidR="00197BF0" w:rsidRDefault="00197BF0" w:rsidP="00197BF0">
      <w:pPr>
        <w:rPr>
          <w:b/>
          <w:bCs/>
          <w:sz w:val="28"/>
          <w:szCs w:val="28"/>
        </w:rPr>
      </w:pPr>
      <w:r w:rsidRPr="00197BF0">
        <w:rPr>
          <w:b/>
          <w:bCs/>
          <w:sz w:val="28"/>
          <w:szCs w:val="28"/>
        </w:rPr>
        <w:t>C1.5. R2 Uspostava mreže logističke infrastrukture za jačanje proizvodno tržišnog lanca u sektoru voća i povrća</w:t>
      </w:r>
    </w:p>
    <w:p w14:paraId="18F7CDB6" w14:textId="77777777" w:rsidR="00197BF0" w:rsidRPr="00197BF0" w:rsidRDefault="00197BF0" w:rsidP="00197BF0">
      <w:pPr>
        <w:rPr>
          <w:b/>
          <w:bCs/>
          <w:sz w:val="28"/>
          <w:szCs w:val="28"/>
        </w:rPr>
      </w:pPr>
    </w:p>
    <w:p w14:paraId="39328086" w14:textId="759B8FAA" w:rsidR="00197BF0" w:rsidRPr="00197BF0" w:rsidRDefault="00197BF0" w:rsidP="00197BF0">
      <w:pPr>
        <w:jc w:val="both"/>
        <w:rPr>
          <w:i/>
          <w:noProof/>
          <w:color w:val="000000" w:themeColor="text1"/>
        </w:rPr>
      </w:pPr>
      <w:r w:rsidRPr="00197BF0">
        <w:rPr>
          <w:noProof/>
          <w:color w:val="000000" w:themeColor="text1"/>
        </w:rPr>
        <w:t>Potrebno je ispuniti posljednji stupac u kojem će se obrazložiti na koji način konkretan projektni prijedlog  zadovoljava uvijete iz pojedinog zahtjeva DNSH, odnosno na koji način je sukladan s obrazloženjem navedenim u stupcu Obrazloženja (</w:t>
      </w:r>
      <w:r w:rsidRPr="00197BF0">
        <w:rPr>
          <w:i/>
          <w:noProof/>
          <w:color w:val="000000" w:themeColor="text1"/>
        </w:rPr>
        <w:t>Obrazloženje ako je odabrano „Ne“ i</w:t>
      </w:r>
    </w:p>
    <w:p w14:paraId="61796D3E" w14:textId="77777777" w:rsidR="00197BF0" w:rsidRPr="00197BF0" w:rsidRDefault="00197BF0" w:rsidP="00197BF0">
      <w:pPr>
        <w:jc w:val="both"/>
        <w:rPr>
          <w:noProof/>
          <w:color w:val="000000" w:themeColor="text1"/>
        </w:rPr>
      </w:pPr>
      <w:r w:rsidRPr="00197BF0">
        <w:rPr>
          <w:i/>
          <w:noProof/>
          <w:color w:val="000000" w:themeColor="text1"/>
        </w:rPr>
        <w:t>Materijalno obrazloženje</w:t>
      </w:r>
      <w:r w:rsidRPr="00197BF0">
        <w:rPr>
          <w:noProof/>
          <w:color w:val="000000" w:themeColor="text1"/>
        </w:rPr>
        <w:t>) kakvo je dano u okviru NPOO-a.</w:t>
      </w:r>
    </w:p>
    <w:p w14:paraId="5F15CB59" w14:textId="77777777" w:rsidR="00197BF0" w:rsidRPr="00197BF0" w:rsidRDefault="00197BF0" w:rsidP="00197BF0">
      <w:pPr>
        <w:rPr>
          <w:b/>
          <w:bCs/>
          <w:szCs w:val="20"/>
        </w:rPr>
      </w:pPr>
    </w:p>
    <w:p w14:paraId="5A7A2AFD" w14:textId="00379EDC" w:rsidR="00EB6910" w:rsidRDefault="00197BF0" w:rsidP="00197BF0">
      <w:pPr>
        <w:rPr>
          <w:b/>
          <w:bCs/>
          <w:szCs w:val="20"/>
        </w:rPr>
      </w:pPr>
      <w:r w:rsidRPr="00197BF0">
        <w:rPr>
          <w:b/>
          <w:bCs/>
          <w:szCs w:val="20"/>
        </w:rPr>
        <w:t>Ulaganje C.1.5. R1-I1 - izgradnja i opremanje logističko-distributivnih centara za voće i povrće</w:t>
      </w:r>
    </w:p>
    <w:p w14:paraId="16962722" w14:textId="77777777" w:rsidR="00EB6910" w:rsidRPr="00C773D0" w:rsidRDefault="00EB6910" w:rsidP="00EB6910">
      <w:pPr>
        <w:rPr>
          <w:b/>
          <w:bCs/>
          <w:szCs w:val="20"/>
        </w:rPr>
      </w:pPr>
    </w:p>
    <w:tbl>
      <w:tblPr>
        <w:tblW w:w="5000" w:type="pct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690"/>
        <w:gridCol w:w="698"/>
        <w:gridCol w:w="696"/>
        <w:gridCol w:w="3069"/>
        <w:gridCol w:w="3562"/>
        <w:gridCol w:w="3279"/>
      </w:tblGrid>
      <w:tr w:rsidR="005A6186" w:rsidRPr="00EB6910" w14:paraId="34DB5DC1" w14:textId="77777777" w:rsidTr="3B2F8C5C">
        <w:tc>
          <w:tcPr>
            <w:tcW w:w="978" w:type="pct"/>
            <w:shd w:val="clear" w:color="auto" w:fill="2C398B"/>
          </w:tcPr>
          <w:p w14:paraId="70C6D1A1" w14:textId="77777777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noProof/>
                <w:color w:val="FFFFFF"/>
              </w:rPr>
              <w:t>Navedite za koje je od sljedećih okolišnih ciljeva potrebna materijalna ocjena usklađenosti mjere s načelom nenanošenja bitne štete</w:t>
            </w:r>
          </w:p>
          <w:p w14:paraId="166513B0" w14:textId="77777777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color w:val="FFFFFF"/>
              </w:rPr>
            </w:pPr>
          </w:p>
        </w:tc>
        <w:tc>
          <w:tcPr>
            <w:tcW w:w="266" w:type="pct"/>
            <w:shd w:val="clear" w:color="auto" w:fill="2C398B"/>
          </w:tcPr>
          <w:p w14:paraId="3EB106B4" w14:textId="77777777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iCs/>
                <w:color w:val="FFFFFF"/>
              </w:rPr>
              <w:t>Da</w:t>
            </w:r>
          </w:p>
        </w:tc>
        <w:tc>
          <w:tcPr>
            <w:tcW w:w="265" w:type="pct"/>
            <w:shd w:val="clear" w:color="auto" w:fill="2C398B"/>
          </w:tcPr>
          <w:p w14:paraId="285AF0F9" w14:textId="77777777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iCs/>
                <w:color w:val="FFFFFF"/>
              </w:rPr>
              <w:t>Ne</w:t>
            </w:r>
          </w:p>
        </w:tc>
        <w:tc>
          <w:tcPr>
            <w:tcW w:w="1113" w:type="pct"/>
            <w:shd w:val="clear" w:color="auto" w:fill="2C398B"/>
          </w:tcPr>
          <w:p w14:paraId="43DB422B" w14:textId="77777777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noProof/>
                <w:color w:val="FFFFFF"/>
              </w:rPr>
              <w:t>Obrazloženje ako je odabrano „Ne”</w:t>
            </w:r>
          </w:p>
        </w:tc>
        <w:tc>
          <w:tcPr>
            <w:tcW w:w="1190" w:type="pct"/>
            <w:shd w:val="clear" w:color="auto" w:fill="2C398B"/>
          </w:tcPr>
          <w:p w14:paraId="4BC9662A" w14:textId="17426C1B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noProof/>
                <w:color w:val="FFFFFF"/>
              </w:rPr>
            </w:pPr>
            <w:r w:rsidRPr="00C773D0">
              <w:rPr>
                <w:rFonts w:eastAsia="Calibri"/>
                <w:iCs/>
                <w:noProof/>
                <w:color w:val="FFFFFF"/>
                <w:sz w:val="18"/>
                <w:szCs w:val="18"/>
              </w:rPr>
              <w:t>Verifikacija</w:t>
            </w:r>
          </w:p>
        </w:tc>
        <w:tc>
          <w:tcPr>
            <w:tcW w:w="1188" w:type="pct"/>
            <w:shd w:val="clear" w:color="auto" w:fill="2C398B"/>
          </w:tcPr>
          <w:p w14:paraId="4D8650EC" w14:textId="7C151794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noProof/>
                <w:color w:val="FFFFFF"/>
              </w:rPr>
            </w:pPr>
            <w:r w:rsidRPr="00EB6910">
              <w:rPr>
                <w:rFonts w:eastAsia="Calibri"/>
                <w:i/>
                <w:iCs/>
                <w:noProof/>
                <w:color w:val="FFFFFF"/>
              </w:rPr>
              <w:t>Obrazloženje sukladnosti projektnog prijedloga s navedenim načelima (ispunjava prijavitelj)</w:t>
            </w:r>
          </w:p>
        </w:tc>
      </w:tr>
      <w:tr w:rsidR="005A6186" w:rsidRPr="00EB6910" w14:paraId="4DDA2F66" w14:textId="77777777" w:rsidTr="3B2F8C5C">
        <w:tc>
          <w:tcPr>
            <w:tcW w:w="978" w:type="pct"/>
            <w:shd w:val="clear" w:color="auto" w:fill="auto"/>
          </w:tcPr>
          <w:p w14:paraId="5EA87DCB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  <w:color w:val="000000"/>
                <w:shd w:val="clear" w:color="auto" w:fill="FFFFFF"/>
              </w:rPr>
              <w:t>Ublažavanje klimatskih promjena</w:t>
            </w:r>
          </w:p>
        </w:tc>
        <w:tc>
          <w:tcPr>
            <w:tcW w:w="266" w:type="pct"/>
            <w:shd w:val="clear" w:color="auto" w:fill="auto"/>
          </w:tcPr>
          <w:p w14:paraId="00EEB5EF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5" w:type="pct"/>
            <w:shd w:val="clear" w:color="auto" w:fill="auto"/>
          </w:tcPr>
          <w:p w14:paraId="60C6357D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1113" w:type="pct"/>
            <w:shd w:val="clear" w:color="auto" w:fill="auto"/>
          </w:tcPr>
          <w:p w14:paraId="2EFEE7EF" w14:textId="706013E3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  <w:r w:rsidRPr="3B2F8C5C">
              <w:rPr>
                <w:rFonts w:eastAsia="Calibri"/>
                <w:color w:val="000000" w:themeColor="text1"/>
              </w:rPr>
              <w:t>U fazi „</w:t>
            </w:r>
            <w:proofErr w:type="spellStart"/>
            <w:r w:rsidRPr="3B2F8C5C">
              <w:rPr>
                <w:rFonts w:eastAsia="Calibri"/>
                <w:color w:val="000000" w:themeColor="text1"/>
              </w:rPr>
              <w:t>processinga</w:t>
            </w:r>
            <w:proofErr w:type="spellEnd"/>
            <w:r w:rsidRPr="3B2F8C5C">
              <w:rPr>
                <w:rFonts w:eastAsia="Calibri"/>
                <w:color w:val="000000" w:themeColor="text1"/>
              </w:rPr>
              <w:t xml:space="preserve">“ (koja podrazumijeva lanac od farme do maloprodaje - odnosno proces nakon berbe plodova pa do njihove pripreme za tržište), očekivano je smanjenje otpada / gubitaka voća i povrća  oko 17% - što znači između 4.930 tona i 6.800 tona  godišnje. Gubitak od 1 </w:t>
            </w:r>
            <w:r w:rsidRPr="3B2F8C5C">
              <w:rPr>
                <w:rFonts w:eastAsia="Calibri"/>
                <w:color w:val="000000" w:themeColor="text1"/>
              </w:rPr>
              <w:lastRenderedPageBreak/>
              <w:t>tone jabuka uzrokuje oko 436 kg emisije stakleničkih plinova (CO2) u konvencionalnoj proizvodnji. Slijedom tog podatka, investicija u LDC-ove bi smanjila emisije CO2 za ukupno između 2.153 tone CO2 i 2.969 tona CO2 godišnje.</w:t>
            </w:r>
          </w:p>
          <w:p w14:paraId="041493DE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</w:p>
          <w:p w14:paraId="186308F9" w14:textId="4854FE64" w:rsidR="005A6186" w:rsidRPr="00584463" w:rsidRDefault="005A6186" w:rsidP="3B2F8C5C">
            <w:pPr>
              <w:spacing w:before="60" w:after="60" w:line="259" w:lineRule="auto"/>
              <w:jc w:val="both"/>
              <w:rPr>
                <w:b/>
                <w:bCs/>
                <w:color w:val="000000" w:themeColor="text1"/>
              </w:rPr>
            </w:pPr>
            <w:r w:rsidRPr="3B2F8C5C">
              <w:rPr>
                <w:rFonts w:eastAsia="Calibri"/>
                <w:color w:val="000000" w:themeColor="text1"/>
              </w:rPr>
              <w:t>Također, skladišni kapacitet može biti samodostatan u proizvodnji energije unutar oko 58% solarnih PV panela. To će dovesti do smanjenja emisije stakleničkih plinova za oko 55 tona CO</w:t>
            </w:r>
            <w:r w:rsidRPr="3B2F8C5C">
              <w:rPr>
                <w:rFonts w:eastAsia="Calibri"/>
                <w:color w:val="000000" w:themeColor="text1"/>
                <w:vertAlign w:val="subscript"/>
              </w:rPr>
              <w:t xml:space="preserve">2 </w:t>
            </w:r>
            <w:r w:rsidRPr="3B2F8C5C">
              <w:rPr>
                <w:rFonts w:eastAsia="Calibri"/>
                <w:color w:val="000000" w:themeColor="text1"/>
              </w:rPr>
              <w:t xml:space="preserve">godišnje. S tim u vezi, centri će se graditi prema odgovarajućem standardu energetske učinkovitosti i uključivat će proizvodnju energije iz obnovljivih izvora. </w:t>
            </w:r>
            <w:r w:rsidRPr="00584463">
              <w:rPr>
                <w:rFonts w:eastAsia="Calibri"/>
                <w:b/>
                <w:bCs/>
                <w:color w:val="000000" w:themeColor="text1"/>
              </w:rPr>
              <w:t xml:space="preserve">Zahvaljujući tome </w:t>
            </w:r>
            <w:r w:rsidR="3B2F8C5C" w:rsidRPr="00584463">
              <w:rPr>
                <w:b/>
                <w:bCs/>
                <w:color w:val="000000" w:themeColor="text1"/>
              </w:rPr>
              <w:t xml:space="preserve"> izgrađeni i opremljeni LDC </w:t>
            </w:r>
            <w:r w:rsidR="3B2F8C5C" w:rsidRPr="00584463">
              <w:rPr>
                <w:b/>
                <w:bCs/>
                <w:color w:val="CC3595"/>
                <w:u w:val="single"/>
              </w:rPr>
              <w:t xml:space="preserve">predstavlja novu zgradu čija je potražnja za primarnom energijom barem 20% niža od zgrade </w:t>
            </w:r>
            <w:r w:rsidR="3B2F8C5C" w:rsidRPr="00584463">
              <w:rPr>
                <w:b/>
                <w:bCs/>
                <w:color w:val="CC3595"/>
                <w:u w:val="single"/>
              </w:rPr>
              <w:lastRenderedPageBreak/>
              <w:t>gotovo nulte energije (</w:t>
            </w:r>
            <w:proofErr w:type="spellStart"/>
            <w:r w:rsidR="3B2F8C5C" w:rsidRPr="00584463">
              <w:rPr>
                <w:b/>
                <w:bCs/>
                <w:color w:val="CC3595"/>
                <w:u w:val="single"/>
              </w:rPr>
              <w:t>nZEB</w:t>
            </w:r>
            <w:proofErr w:type="spellEnd"/>
            <w:r w:rsidR="3B2F8C5C" w:rsidRPr="00584463">
              <w:rPr>
                <w:b/>
                <w:bCs/>
                <w:color w:val="CC3595"/>
                <w:u w:val="single"/>
              </w:rPr>
              <w:t xml:space="preserve"> standard)</w:t>
            </w:r>
            <w:r w:rsidR="3B2F8C5C" w:rsidRPr="00584463">
              <w:rPr>
                <w:b/>
                <w:bCs/>
                <w:strike/>
                <w:color w:val="CC3595"/>
              </w:rPr>
              <w:t>;</w:t>
            </w:r>
          </w:p>
          <w:p w14:paraId="24796F89" w14:textId="3E445448" w:rsidR="005A6186" w:rsidRPr="00EB6910" w:rsidRDefault="005A6186" w:rsidP="005A6186">
            <w:pPr>
              <w:jc w:val="both"/>
              <w:rPr>
                <w:rFonts w:eastAsia="Calibri"/>
              </w:rPr>
            </w:pPr>
            <w:r w:rsidRPr="3B2F8C5C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190" w:type="pct"/>
          </w:tcPr>
          <w:p w14:paraId="6A39F9EF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lastRenderedPageBreak/>
              <w:t xml:space="preserve">Građevinska dozvola-dokaz poštivanja </w:t>
            </w:r>
            <w:proofErr w:type="spellStart"/>
            <w:r w:rsidRPr="00306201">
              <w:rPr>
                <w:rFonts w:eastAsia="Calibri"/>
                <w:color w:val="000000"/>
              </w:rPr>
              <w:t>nZEB</w:t>
            </w:r>
            <w:proofErr w:type="spellEnd"/>
            <w:r w:rsidRPr="00306201">
              <w:rPr>
                <w:rFonts w:eastAsia="Calibri"/>
                <w:color w:val="000000"/>
              </w:rPr>
              <w:t xml:space="preserve"> standarda za zgrade gotovo nulte energije </w:t>
            </w:r>
          </w:p>
          <w:p w14:paraId="4D363385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Kontrola </w:t>
            </w:r>
            <w:proofErr w:type="spellStart"/>
            <w:r w:rsidRPr="00306201">
              <w:rPr>
                <w:rFonts w:eastAsia="Calibri"/>
                <w:color w:val="000000"/>
              </w:rPr>
              <w:t>nZEB</w:t>
            </w:r>
            <w:proofErr w:type="spellEnd"/>
            <w:r w:rsidRPr="00306201">
              <w:rPr>
                <w:rFonts w:eastAsia="Calibri"/>
                <w:color w:val="000000"/>
              </w:rPr>
              <w:t xml:space="preserve"> standarda obavlja se u trenutku predaje zahtjeva za izdavanje građevinske dozvole, kada zgrada još u fazi projekta i nije započeta gradnja</w:t>
            </w:r>
          </w:p>
          <w:p w14:paraId="33634C29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</w:p>
          <w:p w14:paraId="036D8861" w14:textId="77777777" w:rsidR="005A6186" w:rsidRPr="00306201" w:rsidRDefault="00584463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  <w:hyperlink r:id="rId10" w:history="1">
              <w:r w:rsidR="005A6186" w:rsidRPr="00306201">
                <w:rPr>
                  <w:rFonts w:eastAsia="Calibri"/>
                  <w:color w:val="000000"/>
                </w:rPr>
                <w:t>https://mpgi.gov.hr/o-ministarstvu/djelokrug/energetska-</w:t>
              </w:r>
              <w:r w:rsidR="005A6186" w:rsidRPr="00306201">
                <w:rPr>
                  <w:rFonts w:eastAsia="Calibri"/>
                  <w:color w:val="000000"/>
                </w:rPr>
                <w:lastRenderedPageBreak/>
                <w:t>ucinkovitost-u-zgradarstvu/zgrade-gotovo-nulte-energije-nzeb/pojasnjenje-primjene-odredbi-vezanih-uz-standard-gradnje-zgrada-gotovo-nulte-energije-nzeb/10580</w:t>
              </w:r>
            </w:hyperlink>
          </w:p>
          <w:p w14:paraId="1C15AFA8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</w:p>
          <w:p w14:paraId="07007F46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Investicijska studija</w:t>
            </w:r>
          </w:p>
          <w:p w14:paraId="391F5F98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</w:p>
          <w:p w14:paraId="03A328C8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Tehnička dokumentacija </w:t>
            </w:r>
          </w:p>
          <w:p w14:paraId="25603CFA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</w:p>
          <w:p w14:paraId="780FFEC3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Troškovnik</w:t>
            </w:r>
          </w:p>
          <w:p w14:paraId="18AD64AC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</w:p>
          <w:p w14:paraId="630E2D3E" w14:textId="4EFBC844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Okolišna dozvola koja dokazuje usklađenost tehnologija s NRT (Najboljim Raspoloživim Tehnikama</w:t>
            </w:r>
            <w:r w:rsidRPr="00C773D0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8" w:type="pct"/>
            <w:shd w:val="clear" w:color="auto" w:fill="auto"/>
          </w:tcPr>
          <w:p w14:paraId="566F4317" w14:textId="0CCFB454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5DFFF9F5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6B7731EF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284D72FB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5717369B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20628BCC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4C7E78FA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6CBB0FD6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7D9EBD89" w14:textId="2AF3F998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t xml:space="preserve">Obrazloženje -ispunjava prijavitelj- opisati na koji način </w:t>
            </w:r>
            <w:r w:rsidRPr="00EB6910">
              <w:rPr>
                <w:rFonts w:eastAsia="Calibri"/>
                <w:i/>
                <w:color w:val="000000"/>
              </w:rPr>
              <w:lastRenderedPageBreak/>
              <w:t>konkretan projektni prijedlog zadovoljava navedena načela</w:t>
            </w:r>
          </w:p>
        </w:tc>
      </w:tr>
      <w:tr w:rsidR="005A6186" w:rsidRPr="00EB6910" w14:paraId="6361E321" w14:textId="77777777" w:rsidTr="3B2F8C5C">
        <w:tc>
          <w:tcPr>
            <w:tcW w:w="978" w:type="pct"/>
            <w:shd w:val="clear" w:color="auto" w:fill="auto"/>
          </w:tcPr>
          <w:p w14:paraId="465934FF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</w:rPr>
              <w:lastRenderedPageBreak/>
              <w:t>Prilagodba klimatskim promjenama</w:t>
            </w:r>
          </w:p>
        </w:tc>
        <w:tc>
          <w:tcPr>
            <w:tcW w:w="266" w:type="pct"/>
            <w:shd w:val="clear" w:color="auto" w:fill="auto"/>
          </w:tcPr>
          <w:p w14:paraId="6752E56A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7237F7FC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14:paraId="68316EA3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90" w:type="pct"/>
          </w:tcPr>
          <w:p w14:paraId="69143889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88" w:type="pct"/>
            <w:shd w:val="clear" w:color="auto" w:fill="auto"/>
          </w:tcPr>
          <w:p w14:paraId="4B6E593A" w14:textId="0CB2B94A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</w:tr>
      <w:tr w:rsidR="005A6186" w:rsidRPr="00EB6910" w14:paraId="12D87CA5" w14:textId="77777777" w:rsidTr="3B2F8C5C">
        <w:tc>
          <w:tcPr>
            <w:tcW w:w="978" w:type="pct"/>
            <w:shd w:val="clear" w:color="auto" w:fill="auto"/>
          </w:tcPr>
          <w:p w14:paraId="3D5359C1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</w:rPr>
              <w:t>Održiva uporaba i zaštita vodnih i morskih resursa</w:t>
            </w:r>
          </w:p>
        </w:tc>
        <w:tc>
          <w:tcPr>
            <w:tcW w:w="266" w:type="pct"/>
            <w:shd w:val="clear" w:color="auto" w:fill="auto"/>
          </w:tcPr>
          <w:p w14:paraId="41A7291D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44E11BDF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14:paraId="0AF707CA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90" w:type="pct"/>
          </w:tcPr>
          <w:p w14:paraId="25750B19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88" w:type="pct"/>
            <w:shd w:val="clear" w:color="auto" w:fill="auto"/>
          </w:tcPr>
          <w:p w14:paraId="41F298B0" w14:textId="3E82DD65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</w:tr>
      <w:tr w:rsidR="005A6186" w:rsidRPr="00EB6910" w14:paraId="468BAB13" w14:textId="77777777" w:rsidTr="3B2F8C5C">
        <w:tc>
          <w:tcPr>
            <w:tcW w:w="978" w:type="pct"/>
            <w:shd w:val="clear" w:color="auto" w:fill="auto"/>
          </w:tcPr>
          <w:p w14:paraId="16327E37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</w:rPr>
              <w:t>Kružno gospodarstvo, uključujući sprečavanje nastanka otpada i recikliranje</w:t>
            </w:r>
          </w:p>
        </w:tc>
        <w:tc>
          <w:tcPr>
            <w:tcW w:w="266" w:type="pct"/>
            <w:shd w:val="clear" w:color="auto" w:fill="auto"/>
          </w:tcPr>
          <w:p w14:paraId="2A20C745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468959E3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14:paraId="1E4A3FAB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90" w:type="pct"/>
          </w:tcPr>
          <w:p w14:paraId="6AB03B9D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88" w:type="pct"/>
            <w:shd w:val="clear" w:color="auto" w:fill="auto"/>
          </w:tcPr>
          <w:p w14:paraId="217953AC" w14:textId="5AB80BEB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</w:tr>
      <w:tr w:rsidR="005A6186" w:rsidRPr="00EB6910" w14:paraId="11FCF520" w14:textId="77777777" w:rsidTr="3B2F8C5C">
        <w:tc>
          <w:tcPr>
            <w:tcW w:w="978" w:type="pct"/>
            <w:shd w:val="clear" w:color="auto" w:fill="auto"/>
          </w:tcPr>
          <w:p w14:paraId="772EDD94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</w:rPr>
              <w:t>Sprečavanje i kontrola onečišćenja zraka, vode ili zemlje</w:t>
            </w:r>
          </w:p>
        </w:tc>
        <w:tc>
          <w:tcPr>
            <w:tcW w:w="266" w:type="pct"/>
            <w:shd w:val="clear" w:color="auto" w:fill="auto"/>
          </w:tcPr>
          <w:p w14:paraId="5BF76343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3CA7DBC7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14:paraId="0EA7445A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90" w:type="pct"/>
          </w:tcPr>
          <w:p w14:paraId="6BEDA8FB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88" w:type="pct"/>
            <w:shd w:val="clear" w:color="auto" w:fill="auto"/>
          </w:tcPr>
          <w:p w14:paraId="41F5E91E" w14:textId="105762CC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</w:tr>
      <w:tr w:rsidR="005A6186" w:rsidRPr="00EB6910" w14:paraId="20900E04" w14:textId="77777777" w:rsidTr="3B2F8C5C">
        <w:trPr>
          <w:trHeight w:val="285"/>
        </w:trPr>
        <w:tc>
          <w:tcPr>
            <w:tcW w:w="978" w:type="pct"/>
            <w:shd w:val="clear" w:color="auto" w:fill="auto"/>
          </w:tcPr>
          <w:p w14:paraId="30547C35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</w:rPr>
              <w:t>Zaštita i obnova bioraznolikosti i ekosustavâ</w:t>
            </w:r>
          </w:p>
        </w:tc>
        <w:tc>
          <w:tcPr>
            <w:tcW w:w="266" w:type="pct"/>
            <w:shd w:val="clear" w:color="auto" w:fill="auto"/>
          </w:tcPr>
          <w:p w14:paraId="342DBDD8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59D8D0F9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14:paraId="6DD5C190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90" w:type="pct"/>
          </w:tcPr>
          <w:p w14:paraId="3EC4BD4B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88" w:type="pct"/>
            <w:shd w:val="clear" w:color="auto" w:fill="auto"/>
          </w:tcPr>
          <w:p w14:paraId="3C6F9ABD" w14:textId="1E91864E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</w:tr>
    </w:tbl>
    <w:p w14:paraId="5176829F" w14:textId="77777777" w:rsidR="00EB6910" w:rsidRPr="00C773D0" w:rsidRDefault="00EB6910" w:rsidP="00EB6910"/>
    <w:p w14:paraId="062FCD5B" w14:textId="5EBCE77D" w:rsidR="00EB6910" w:rsidRDefault="00EB6910" w:rsidP="00EB6910">
      <w:r w:rsidRPr="00C773D0">
        <w:br w:type="page"/>
      </w:r>
    </w:p>
    <w:p w14:paraId="3BD90FA0" w14:textId="1D45CC80" w:rsidR="00EB6910" w:rsidRPr="00C773D0" w:rsidRDefault="00EB6910" w:rsidP="00EB6910">
      <w:pPr>
        <w:rPr>
          <w:b/>
          <w:bCs/>
          <w:szCs w:val="20"/>
        </w:rPr>
      </w:pPr>
    </w:p>
    <w:tbl>
      <w:tblPr>
        <w:tblW w:w="5000" w:type="pct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253"/>
        <w:gridCol w:w="484"/>
        <w:gridCol w:w="3398"/>
        <w:gridCol w:w="4996"/>
        <w:gridCol w:w="2863"/>
      </w:tblGrid>
      <w:tr w:rsidR="00306201" w:rsidRPr="00EB6910" w14:paraId="1DC20150" w14:textId="77777777" w:rsidTr="00306201">
        <w:tc>
          <w:tcPr>
            <w:tcW w:w="805" w:type="pct"/>
            <w:shd w:val="clear" w:color="auto" w:fill="2C398B"/>
          </w:tcPr>
          <w:p w14:paraId="11394F49" w14:textId="77777777" w:rsidR="00306201" w:rsidRPr="00EB6910" w:rsidRDefault="00306201" w:rsidP="00A04B2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noProof/>
                <w:color w:val="FFFFFF"/>
              </w:rPr>
              <w:t>Pitanja</w:t>
            </w:r>
            <w:r w:rsidRPr="00EB6910">
              <w:rPr>
                <w:rFonts w:eastAsia="Calibri"/>
                <w:i/>
                <w:iCs/>
                <w:color w:val="FFFFFF"/>
              </w:rPr>
              <w:t xml:space="preserve"> </w:t>
            </w:r>
          </w:p>
        </w:tc>
        <w:tc>
          <w:tcPr>
            <w:tcW w:w="173" w:type="pct"/>
            <w:shd w:val="clear" w:color="auto" w:fill="2C398B"/>
          </w:tcPr>
          <w:p w14:paraId="5EA3550C" w14:textId="77777777" w:rsidR="00306201" w:rsidRPr="00EB6910" w:rsidRDefault="00306201" w:rsidP="00A04B2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noProof/>
                <w:color w:val="FFFFFF"/>
              </w:rPr>
              <w:t>Ne</w:t>
            </w:r>
          </w:p>
        </w:tc>
        <w:tc>
          <w:tcPr>
            <w:tcW w:w="1214" w:type="pct"/>
            <w:shd w:val="clear" w:color="auto" w:fill="2C398B"/>
          </w:tcPr>
          <w:p w14:paraId="3B0289AC" w14:textId="77777777" w:rsidR="00306201" w:rsidRPr="00EB6910" w:rsidRDefault="00306201" w:rsidP="00A04B2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noProof/>
                <w:color w:val="FFFFFF"/>
              </w:rPr>
              <w:t>Materijalno obrazloženje</w:t>
            </w:r>
          </w:p>
        </w:tc>
        <w:tc>
          <w:tcPr>
            <w:tcW w:w="1785" w:type="pct"/>
            <w:shd w:val="clear" w:color="auto" w:fill="2C398B"/>
          </w:tcPr>
          <w:p w14:paraId="50241B4F" w14:textId="6B494DFF" w:rsidR="00306201" w:rsidRPr="00EB6910" w:rsidRDefault="00306201" w:rsidP="00A04B26">
            <w:pPr>
              <w:jc w:val="center"/>
              <w:rPr>
                <w:rFonts w:eastAsia="Calibri"/>
                <w:i/>
                <w:iCs/>
                <w:noProof/>
                <w:color w:val="FFFFFF"/>
              </w:rPr>
            </w:pPr>
            <w:r w:rsidRPr="00306201">
              <w:rPr>
                <w:rFonts w:eastAsia="Calibri"/>
                <w:i/>
                <w:iCs/>
                <w:noProof/>
                <w:color w:val="FFFFFF"/>
              </w:rPr>
              <w:t>Verifikacija</w:t>
            </w:r>
          </w:p>
        </w:tc>
        <w:tc>
          <w:tcPr>
            <w:tcW w:w="1023" w:type="pct"/>
            <w:shd w:val="clear" w:color="auto" w:fill="2C398B"/>
          </w:tcPr>
          <w:p w14:paraId="6B685CEE" w14:textId="646D4CB1" w:rsidR="00306201" w:rsidRPr="00EB6910" w:rsidRDefault="00306201" w:rsidP="00A04B26">
            <w:pPr>
              <w:jc w:val="center"/>
              <w:rPr>
                <w:rFonts w:eastAsia="Calibri"/>
                <w:i/>
                <w:noProof/>
                <w:color w:val="FFFFFF"/>
              </w:rPr>
            </w:pPr>
            <w:r w:rsidRPr="00EB6910">
              <w:rPr>
                <w:rFonts w:eastAsia="Calibri"/>
                <w:i/>
                <w:iCs/>
                <w:noProof/>
                <w:color w:val="FFFFFF"/>
              </w:rPr>
              <w:t>Obrazloženje sukladnosti projektnog prijedloga s navedenim načelima (ispunjava prijavitelj)</w:t>
            </w:r>
          </w:p>
        </w:tc>
      </w:tr>
      <w:tr w:rsidR="00306201" w:rsidRPr="00EB6910" w14:paraId="3B1D362D" w14:textId="77777777" w:rsidTr="00306201">
        <w:tc>
          <w:tcPr>
            <w:tcW w:w="805" w:type="pct"/>
            <w:shd w:val="clear" w:color="auto" w:fill="auto"/>
          </w:tcPr>
          <w:p w14:paraId="36B90E70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Prilagodba klimatskim promjenama: očekuje li se da će mjera dovesti do povećanja štetnog učinka trenutačne ili očekivane buduće klime na samu mjeru ili na ljude, prirodu ili imovinu?</w:t>
            </w:r>
          </w:p>
        </w:tc>
        <w:tc>
          <w:tcPr>
            <w:tcW w:w="173" w:type="pct"/>
            <w:shd w:val="clear" w:color="auto" w:fill="auto"/>
          </w:tcPr>
          <w:p w14:paraId="746BB740" w14:textId="77777777" w:rsidR="00306201" w:rsidRPr="00EB6910" w:rsidRDefault="00306201" w:rsidP="00A04B26">
            <w:pPr>
              <w:jc w:val="center"/>
              <w:rPr>
                <w:rFonts w:eastAsia="Calibri"/>
              </w:rPr>
            </w:pPr>
            <w:r w:rsidRPr="00EB6910">
              <w:rPr>
                <w:rFonts w:eastAsia="Calibri"/>
              </w:rPr>
              <w:t>X</w:t>
            </w:r>
          </w:p>
        </w:tc>
        <w:tc>
          <w:tcPr>
            <w:tcW w:w="1214" w:type="pct"/>
            <w:shd w:val="clear" w:color="auto" w:fill="auto"/>
          </w:tcPr>
          <w:p w14:paraId="636206E9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  <w:color w:val="000000"/>
              </w:rPr>
              <w:t>Klimatski rizici koji bi mogli biti relevantni za ovu mjeru identificirani su u Nacionalnoj strategiji prilagodbe klimatskim promjenama u Republici Hrvatskoj za razdoblje do 2040. s pogledom na 2070. godinu i procjenjivat će se za svaku mjeru posebno, uzimajući u obzir lokalne klimatske uvjete, kao i klimatske projekcije (posebno tamo gdje se izrađuju lokalni ili regionalni planovi). Tijekom razvoja i dizajna projekata identificirat će se i integrirati intervencije koje mogu smanjiti klimatske utjecaje.</w:t>
            </w:r>
          </w:p>
        </w:tc>
        <w:tc>
          <w:tcPr>
            <w:tcW w:w="1785" w:type="pct"/>
          </w:tcPr>
          <w:p w14:paraId="73D8B527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Djelatnost ispunjava kriterije iz Dodatka A dopuni Uredbe (EU) 2020/852. </w:t>
            </w:r>
          </w:p>
          <w:p w14:paraId="5BAA9686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3A5D682C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https://eur-lex.europa.eu/resource.html?uri=cellar:d84ec73c-c773-11eb-a925-01aa75ed71a1.0001.02/DOC_2&amp;format=PDF </w:t>
            </w:r>
          </w:p>
          <w:p w14:paraId="2C72437E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3693F4A4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•</w:t>
            </w:r>
            <w:r w:rsidRPr="00306201">
              <w:rPr>
                <w:rFonts w:eastAsia="Calibri"/>
                <w:color w:val="000000"/>
              </w:rPr>
              <w:tab/>
              <w:t>Prema uputama na poveznici - Potrebna je detaljna elaboracija da su klimatski rizici definirani, uspoređeni s relevantnim klimatskim modelom te da su definirane mjere prilagodbe uključene u projekt.</w:t>
            </w:r>
          </w:p>
          <w:p w14:paraId="651D166F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•</w:t>
            </w:r>
            <w:r w:rsidRPr="00306201">
              <w:rPr>
                <w:rFonts w:eastAsia="Calibri"/>
                <w:color w:val="000000"/>
              </w:rPr>
              <w:tab/>
              <w:t>Tehnička dokumentacija investicijskog prijedloga / Glavni projekt</w:t>
            </w:r>
          </w:p>
          <w:p w14:paraId="27F29EE1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44059D97" w14:textId="21C5EF90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Pregled dokaza iz dokumentacije o pregledu i pripremi na klimatske promjene (analize osjetljivosti, izloženosti i ranjivosti, utjecaja, vjerojatnosti i rizika s mjerama prilagodbe i mjerama za praćenje i upravljanje klimatskim promjenama), kako bi ulaganje bilo otporno na klimatske promjene, uz izbjegavanje negativnih učinaka klimatskih promjena ulaganja na klimu tijekom čitavog životnog ciklusa</w:t>
            </w:r>
          </w:p>
        </w:tc>
        <w:tc>
          <w:tcPr>
            <w:tcW w:w="1023" w:type="pct"/>
            <w:shd w:val="clear" w:color="auto" w:fill="auto"/>
          </w:tcPr>
          <w:p w14:paraId="1166DF55" w14:textId="618B9CA7" w:rsidR="00306201" w:rsidRPr="00EB6910" w:rsidRDefault="00306201" w:rsidP="00EB6910">
            <w:pPr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t>Obrazloženje -ispunjava prijavitelj- pozvati se na dokumente i provedene procedure kojima se potvrđuje sukladnost projektnog prijedloga s navedenim načelima</w:t>
            </w:r>
          </w:p>
          <w:p w14:paraId="368E652C" w14:textId="77777777" w:rsidR="00306201" w:rsidRPr="00EB6910" w:rsidRDefault="00306201" w:rsidP="00EB6910">
            <w:pPr>
              <w:rPr>
                <w:rFonts w:eastAsia="Calibri"/>
                <w:i/>
                <w:color w:val="000000"/>
              </w:rPr>
            </w:pPr>
          </w:p>
          <w:p w14:paraId="51B8D702" w14:textId="43C4E468" w:rsidR="00306201" w:rsidRPr="00EB6910" w:rsidRDefault="00306201" w:rsidP="00EB6910">
            <w:pPr>
              <w:rPr>
                <w:rFonts w:eastAsia="Calibri"/>
                <w:i/>
                <w:color w:val="000000"/>
              </w:rPr>
            </w:pPr>
          </w:p>
        </w:tc>
      </w:tr>
      <w:tr w:rsidR="00306201" w:rsidRPr="00EB6910" w14:paraId="04F3FA56" w14:textId="77777777" w:rsidTr="00306201">
        <w:tc>
          <w:tcPr>
            <w:tcW w:w="805" w:type="pct"/>
            <w:shd w:val="clear" w:color="auto" w:fill="auto"/>
          </w:tcPr>
          <w:p w14:paraId="6AB43D01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lastRenderedPageBreak/>
              <w:t>Održiva uporaba i zaštita vodnih i morskih resursa: očekuje li se da će mjera biti štetna:</w:t>
            </w:r>
          </w:p>
          <w:p w14:paraId="1F953558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(i)</w:t>
            </w:r>
            <w:r w:rsidRPr="00EB6910">
              <w:rPr>
                <w:rFonts w:eastAsia="Calibri"/>
              </w:rPr>
              <w:tab/>
              <w:t>za dobro stanje ili dobar ekološki potencijal vodnih tijela, među ostalim površinskih i podzemnih voda; ili</w:t>
            </w:r>
          </w:p>
          <w:p w14:paraId="3A2C2C9D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(ii)</w:t>
            </w:r>
            <w:r w:rsidRPr="00EB6910">
              <w:rPr>
                <w:rFonts w:eastAsia="Calibri"/>
              </w:rPr>
              <w:tab/>
              <w:t>za dobro stanje okoliša morskih voda?</w:t>
            </w:r>
          </w:p>
        </w:tc>
        <w:tc>
          <w:tcPr>
            <w:tcW w:w="173" w:type="pct"/>
            <w:shd w:val="clear" w:color="auto" w:fill="auto"/>
          </w:tcPr>
          <w:p w14:paraId="4BB84CFD" w14:textId="77777777" w:rsidR="00306201" w:rsidRPr="00EB6910" w:rsidRDefault="00306201" w:rsidP="00A04B26">
            <w:pPr>
              <w:jc w:val="center"/>
              <w:rPr>
                <w:rFonts w:eastAsia="Calibri"/>
              </w:rPr>
            </w:pPr>
            <w:r w:rsidRPr="00EB6910">
              <w:rPr>
                <w:rFonts w:eastAsia="Calibri"/>
              </w:rPr>
              <w:t>X</w:t>
            </w:r>
          </w:p>
        </w:tc>
        <w:tc>
          <w:tcPr>
            <w:tcW w:w="1214" w:type="pct"/>
            <w:shd w:val="clear" w:color="auto" w:fill="auto"/>
          </w:tcPr>
          <w:p w14:paraId="786E6A76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  <w:color w:val="000000"/>
              </w:rPr>
              <w:t>Svi relevantni uređaji za vodu koji će se instalirati (tuševi, miješalice za tuševe, izlazi za tuširanje, slavine, sustavi za WC školjke, WC školjke i vodokotlići, pisoari i vodokotlići, kade) moraju biti u prva 2 razreda potrošnje vode u skladu s EU oznakom za vode.</w:t>
            </w:r>
          </w:p>
        </w:tc>
        <w:tc>
          <w:tcPr>
            <w:tcW w:w="1785" w:type="pct"/>
          </w:tcPr>
          <w:p w14:paraId="24A9DE86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Certifikat održivog upravljanja vodama (http://www.europeanwaterlabel.eu/ ili ekvivalent) i/ili</w:t>
            </w:r>
          </w:p>
          <w:p w14:paraId="23CA7F64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2A85E876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 Certifikati ekološkog označavanja, odnosno sustava upravljanja okolišem prema međunarodno priznatim normama (EU </w:t>
            </w:r>
            <w:proofErr w:type="spellStart"/>
            <w:r w:rsidRPr="00306201">
              <w:rPr>
                <w:rFonts w:eastAsia="Calibri"/>
                <w:color w:val="000000"/>
              </w:rPr>
              <w:t>Ecolabel</w:t>
            </w:r>
            <w:proofErr w:type="spellEnd"/>
            <w:r w:rsidRPr="00306201">
              <w:rPr>
                <w:rFonts w:eastAsia="Calibri"/>
                <w:color w:val="000000"/>
              </w:rPr>
              <w:t>, EMAS ili ekvivalenti) kojim se dokazuje smanjena potrošnja vode</w:t>
            </w:r>
          </w:p>
          <w:p w14:paraId="6E33B521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50B8B104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Tehnička specifikacija proizvoda/sustava koji će se implementirati radi smanjenja potrošnje vode (iz koje je vidljivo učinkovitije korištenje vode: protok vode, maksimalna potrošnja vode, izraženo u L), </w:t>
            </w:r>
          </w:p>
          <w:p w14:paraId="586BD45F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uz predočenje Troškovnika</w:t>
            </w:r>
          </w:p>
          <w:p w14:paraId="3BBF2C42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4CE422F6" w14:textId="3011C176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Okolišna dozvola (NRT)</w:t>
            </w:r>
          </w:p>
        </w:tc>
        <w:tc>
          <w:tcPr>
            <w:tcW w:w="1023" w:type="pct"/>
            <w:shd w:val="clear" w:color="auto" w:fill="auto"/>
          </w:tcPr>
          <w:p w14:paraId="5686D37B" w14:textId="572BF85E" w:rsidR="00306201" w:rsidRPr="00EB6910" w:rsidRDefault="00306201" w:rsidP="00EB6910">
            <w:pPr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t>Obrazloženje -ispunjava prijavitelj- pozvati se na dokumente i provedene procedure kojima se potvrđuje sukladnost projektnog prijedloga s navedenim načelima</w:t>
            </w:r>
          </w:p>
          <w:p w14:paraId="6CF8196A" w14:textId="421903EF" w:rsidR="00306201" w:rsidRPr="00EB6910" w:rsidRDefault="00306201" w:rsidP="00A04B26">
            <w:pPr>
              <w:rPr>
                <w:rFonts w:eastAsia="Calibri"/>
                <w:color w:val="000000"/>
              </w:rPr>
            </w:pPr>
          </w:p>
        </w:tc>
      </w:tr>
      <w:tr w:rsidR="00306201" w:rsidRPr="00EB6910" w14:paraId="123724DC" w14:textId="77777777" w:rsidTr="00306201">
        <w:tc>
          <w:tcPr>
            <w:tcW w:w="805" w:type="pct"/>
            <w:shd w:val="clear" w:color="auto" w:fill="auto"/>
          </w:tcPr>
          <w:p w14:paraId="1ED76E6A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Prelazak na kružno gospodarstvo, uključujući sprečavanje nastanka otpada i recikliranje: očekuje li se da će mjera:</w:t>
            </w:r>
          </w:p>
          <w:p w14:paraId="49B3A2B0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(i)</w:t>
            </w:r>
            <w:r w:rsidRPr="00EB6910">
              <w:rPr>
                <w:rFonts w:eastAsia="Calibri"/>
              </w:rPr>
              <w:tab/>
              <w:t xml:space="preserve">dovesti do znatnog povećanja stvaranja, spaljivanja ili odlaganja otpada, osim spaljivanja opasnog otpada koji </w:t>
            </w:r>
            <w:r w:rsidRPr="00EB6910">
              <w:rPr>
                <w:rFonts w:eastAsia="Calibri"/>
              </w:rPr>
              <w:lastRenderedPageBreak/>
              <w:t>se ne može reciklirati; ili</w:t>
            </w:r>
          </w:p>
          <w:p w14:paraId="0B750D09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(ii)</w:t>
            </w:r>
            <w:r w:rsidRPr="00EB6910">
              <w:rPr>
                <w:rFonts w:eastAsia="Calibri"/>
              </w:rPr>
              <w:tab/>
              <w:t>dovesti do znatnih neučinkovitosti u izravnoj ili neizravnoj uporabi bilo kojeg prirodnog resursa  u bilo kojoj fazi njegova životnog ciklusa koje nisu svedene na najmanju moguću mjeru odgovarajućim mjerama ; ili</w:t>
            </w:r>
          </w:p>
          <w:p w14:paraId="2481D69B" w14:textId="77777777" w:rsidR="00306201" w:rsidRPr="00EB6910" w:rsidRDefault="00306201" w:rsidP="00306201">
            <w:pPr>
              <w:contextualSpacing/>
              <w:rPr>
                <w:rFonts w:eastAsia="Calibri"/>
              </w:rPr>
            </w:pPr>
            <w:r w:rsidRPr="00EB6910">
              <w:rPr>
                <w:rFonts w:eastAsia="Calibri"/>
              </w:rPr>
              <w:t>(iii)</w:t>
            </w:r>
            <w:r w:rsidRPr="00EB6910">
              <w:rPr>
                <w:rFonts w:eastAsia="Calibri"/>
              </w:rPr>
              <w:tab/>
              <w:t>uzrokovati bitnu i dugoročnu štetu okolišu u odnosu na kružno gospodarstvo ?</w:t>
            </w:r>
          </w:p>
        </w:tc>
        <w:tc>
          <w:tcPr>
            <w:tcW w:w="173" w:type="pct"/>
            <w:shd w:val="clear" w:color="auto" w:fill="auto"/>
          </w:tcPr>
          <w:p w14:paraId="2412C4F6" w14:textId="77777777" w:rsidR="00306201" w:rsidRPr="00EB6910" w:rsidRDefault="00306201" w:rsidP="00306201">
            <w:pPr>
              <w:jc w:val="center"/>
              <w:rPr>
                <w:rFonts w:eastAsia="Calibri"/>
              </w:rPr>
            </w:pPr>
            <w:r w:rsidRPr="00EB6910">
              <w:rPr>
                <w:rFonts w:eastAsia="Calibri"/>
              </w:rPr>
              <w:lastRenderedPageBreak/>
              <w:t>X</w:t>
            </w:r>
          </w:p>
        </w:tc>
        <w:tc>
          <w:tcPr>
            <w:tcW w:w="1214" w:type="pct"/>
            <w:shd w:val="clear" w:color="auto" w:fill="auto"/>
          </w:tcPr>
          <w:p w14:paraId="7F1AE43C" w14:textId="77777777" w:rsidR="00306201" w:rsidRPr="00EB691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B6910">
              <w:rPr>
                <w:rFonts w:eastAsia="Calibri"/>
              </w:rPr>
              <w:t xml:space="preserve">Mjera zahtijeva od gospodarskih subjekata koji izvode gradnju da osiguraju da najmanje 70% (težinski) neopasnog građevinskog otpada i otpada od rušenja (isključujući prirodni materijal naveden u kategoriji 17 05 04 na Europskoj listi otpada utvrđenoj Odlukom 2000/532 / EZ) nastalog na gradilištu bude pripremljena za ponovnu uporabu, recikliranje i oporabu drugog materijala, uključujući postupke zatrpavanja otpadom </w:t>
            </w:r>
            <w:r w:rsidRPr="00EB6910">
              <w:rPr>
                <w:rFonts w:eastAsia="Calibri"/>
              </w:rPr>
              <w:lastRenderedPageBreak/>
              <w:t>koji zamjenjuje druge materijale, u skladu s hijerarhijom otpada i EU protokolom za gospodarenje otpadom od gradnje i rušenja.</w:t>
            </w:r>
          </w:p>
          <w:p w14:paraId="45B2CDF4" w14:textId="77777777" w:rsidR="00306201" w:rsidRPr="00EB691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</w:p>
          <w:p w14:paraId="7793E2BA" w14:textId="77777777" w:rsidR="00306201" w:rsidRPr="00EB691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B6910">
              <w:rPr>
                <w:rFonts w:eastAsia="Calibri"/>
                <w:color w:val="000000"/>
              </w:rPr>
              <w:t>Smanjenje otpada može se također očekivati zbog učinkovitosti resursa koja rezultira manjim otpadom hrane.</w:t>
            </w:r>
          </w:p>
          <w:p w14:paraId="7F6DF8A5" w14:textId="77777777" w:rsidR="00306201" w:rsidRPr="00EB691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785" w:type="pct"/>
          </w:tcPr>
          <w:p w14:paraId="2991CE44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06201">
              <w:rPr>
                <w:rFonts w:eastAsia="Calibri"/>
              </w:rPr>
              <w:lastRenderedPageBreak/>
              <w:t>Prateći list za otpad (PL-O) - dokaz da je otpad predan ovlaštenoj osobi      (evidencija o vrsti, količini i načinu obrade - novi PL-O, u primjeni od 1.11.2021.) i</w:t>
            </w:r>
          </w:p>
          <w:p w14:paraId="59A2E230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58CC4352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06201">
              <w:rPr>
                <w:rFonts w:eastAsia="Calibri"/>
              </w:rPr>
              <w:t>Građevinski dnevnik / Troškovnik (ukoliko se otpad prodaje kao sirovina)</w:t>
            </w:r>
          </w:p>
          <w:p w14:paraId="2F3F929B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34E81AC7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06201">
              <w:rPr>
                <w:rFonts w:eastAsia="Calibri"/>
              </w:rPr>
              <w:t>Protokol EU za gospodarenje građevinskim otpadom i otpadom od rušenja primjenjuje se selektivno rušenje radi uklanjanja opasnih tvari i sigurnog rukovanja te olakšavanja ponovne uporabe visokokvalitetnog recikliranja</w:t>
            </w:r>
          </w:p>
          <w:p w14:paraId="47580F4C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184FA9A2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06201">
              <w:rPr>
                <w:rFonts w:eastAsia="Calibri"/>
              </w:rPr>
              <w:lastRenderedPageBreak/>
              <w:t>Tehnička specifikacija proizvoda/sustava/opreme koji će se implementirati radi sprječavanje nastanka, ponovne uporabe  ili recikliranja otpada, iz koje je vidljivo održivo gospodarenje otpadom u skladu s hijerarhijom otpada (izraženo u kg), uz predočenje Troškovnika</w:t>
            </w:r>
          </w:p>
          <w:p w14:paraId="432B6938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73705A1D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06201">
              <w:rPr>
                <w:rFonts w:eastAsia="Calibri"/>
              </w:rPr>
              <w:t>Okolišna dozvola (NRT)</w:t>
            </w:r>
          </w:p>
          <w:p w14:paraId="383E0365" w14:textId="77777777" w:rsidR="00306201" w:rsidRPr="00C773D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18"/>
                <w:szCs w:val="18"/>
              </w:rPr>
            </w:pPr>
          </w:p>
          <w:p w14:paraId="2E047C17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</w:tc>
        <w:tc>
          <w:tcPr>
            <w:tcW w:w="1023" w:type="pct"/>
            <w:shd w:val="clear" w:color="auto" w:fill="auto"/>
          </w:tcPr>
          <w:p w14:paraId="0D6C05EE" w14:textId="11B6D48A" w:rsidR="00306201" w:rsidRPr="00EB6910" w:rsidRDefault="00306201" w:rsidP="00306201">
            <w:pPr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lastRenderedPageBreak/>
              <w:t>Obrazloženje -ispunjava prijavitelj- pozvati se na dokumente i provedene procedure kojima se potvrđuje sukladnost projektnog prijedloga s navedenim načelima</w:t>
            </w:r>
          </w:p>
          <w:p w14:paraId="76D987AE" w14:textId="77777777" w:rsidR="00306201" w:rsidRPr="00EB691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306201" w:rsidRPr="00EB6910" w14:paraId="2958B51E" w14:textId="77777777" w:rsidTr="00306201">
        <w:tc>
          <w:tcPr>
            <w:tcW w:w="805" w:type="pct"/>
            <w:shd w:val="clear" w:color="auto" w:fill="auto"/>
          </w:tcPr>
          <w:p w14:paraId="688DCF21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Sprečavanje i kontrola onečišćenja: očekuje li se da će mjera dovesti do znatnog povećanja emisija onečišćujućih tvari  u zrak, vodu ili zemlju?</w:t>
            </w:r>
          </w:p>
        </w:tc>
        <w:tc>
          <w:tcPr>
            <w:tcW w:w="173" w:type="pct"/>
            <w:shd w:val="clear" w:color="auto" w:fill="auto"/>
          </w:tcPr>
          <w:p w14:paraId="23502292" w14:textId="77777777" w:rsidR="00306201" w:rsidRPr="00EB6910" w:rsidRDefault="00306201" w:rsidP="00306201">
            <w:pPr>
              <w:tabs>
                <w:tab w:val="left" w:pos="311"/>
              </w:tabs>
              <w:jc w:val="center"/>
              <w:rPr>
                <w:rFonts w:eastAsia="Calibri"/>
              </w:rPr>
            </w:pPr>
            <w:r w:rsidRPr="00EB6910">
              <w:rPr>
                <w:rFonts w:eastAsia="Calibri"/>
              </w:rPr>
              <w:t>X</w:t>
            </w:r>
          </w:p>
        </w:tc>
        <w:tc>
          <w:tcPr>
            <w:tcW w:w="1214" w:type="pct"/>
            <w:shd w:val="clear" w:color="auto" w:fill="auto"/>
          </w:tcPr>
          <w:p w14:paraId="544AFF00" w14:textId="77777777" w:rsidR="00306201" w:rsidRPr="00EB6910" w:rsidRDefault="00306201" w:rsidP="00306201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Očekuje se da mjera neće dovesti do značajnog povećanja emisija onečišćujućih tvari u zrak, vodu ili zemlju jer:</w:t>
            </w:r>
          </w:p>
          <w:p w14:paraId="5C25732C" w14:textId="77777777" w:rsidR="00306201" w:rsidRPr="00EB6910" w:rsidRDefault="00306201" w:rsidP="00306201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- osigurano je da građevinski dijelovi i materijali ne sadrže azbest niti tvari koje izazivaju veliku zabrinutost, kako je utvrđeno na temelju „Popisa odobrenja“ Uredbe REACH.</w:t>
            </w:r>
          </w:p>
          <w:p w14:paraId="23C04676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  <w:color w:val="000000"/>
              </w:rPr>
              <w:lastRenderedPageBreak/>
              <w:t>- ako se nova konstrukcija nalazi na potencijalno kontaminiranom mjestu, mora se podvrgnuti kontroli na potencijalne onečišćivače, na primjer primjenom standarda BS 10175.588.</w:t>
            </w:r>
          </w:p>
        </w:tc>
        <w:tc>
          <w:tcPr>
            <w:tcW w:w="1785" w:type="pct"/>
          </w:tcPr>
          <w:p w14:paraId="7D19F66D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lastRenderedPageBreak/>
              <w:t>Tehnička specifikacija (dokumentacija) proizvoda/sustava/opreme održivog dizajna koja prevenira onečišćenje okoliša i održivo upravlja resursima, uz predočenje Troškovnika</w:t>
            </w:r>
          </w:p>
          <w:p w14:paraId="680FB4EC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5CCC49A0" w14:textId="3D9CAF5B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Okolišna dozvola (NRT)</w:t>
            </w:r>
          </w:p>
        </w:tc>
        <w:tc>
          <w:tcPr>
            <w:tcW w:w="1023" w:type="pct"/>
            <w:shd w:val="clear" w:color="auto" w:fill="auto"/>
          </w:tcPr>
          <w:p w14:paraId="042C32B0" w14:textId="18A7148E" w:rsidR="00306201" w:rsidRPr="00EB6910" w:rsidRDefault="00306201" w:rsidP="00306201">
            <w:pPr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t>Obrazloženje -ispunjava prijavitelj- pozvati se na dokumente i provedene procedure kojima se potvrđuje sukladnost projektnog prijedloga s navedenim načelima</w:t>
            </w:r>
          </w:p>
          <w:p w14:paraId="477D34A0" w14:textId="54B8CA21" w:rsidR="00306201" w:rsidRPr="00EB6910" w:rsidRDefault="00306201" w:rsidP="00306201">
            <w:pPr>
              <w:rPr>
                <w:rFonts w:eastAsia="Calibri"/>
                <w:color w:val="000000"/>
              </w:rPr>
            </w:pPr>
          </w:p>
        </w:tc>
      </w:tr>
      <w:tr w:rsidR="00306201" w:rsidRPr="00EB6910" w14:paraId="77B06455" w14:textId="77777777" w:rsidTr="00306201">
        <w:tc>
          <w:tcPr>
            <w:tcW w:w="805" w:type="pct"/>
            <w:shd w:val="clear" w:color="auto" w:fill="auto"/>
          </w:tcPr>
          <w:p w14:paraId="4B291551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 xml:space="preserve">Zaštita i obnova </w:t>
            </w:r>
            <w:proofErr w:type="spellStart"/>
            <w:r w:rsidRPr="00EB6910">
              <w:rPr>
                <w:rFonts w:eastAsia="Calibri"/>
              </w:rPr>
              <w:t>bioraznolikosti</w:t>
            </w:r>
            <w:proofErr w:type="spellEnd"/>
            <w:r w:rsidRPr="00EB6910">
              <w:rPr>
                <w:rFonts w:eastAsia="Calibri"/>
              </w:rPr>
              <w:t xml:space="preserve"> i ekosustavâ: očekuje li se da će mjera biti:</w:t>
            </w:r>
          </w:p>
          <w:p w14:paraId="0223A0F7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(i)</w:t>
            </w:r>
            <w:r w:rsidRPr="00EB6910">
              <w:rPr>
                <w:rFonts w:eastAsia="Calibri"/>
              </w:rPr>
              <w:tab/>
              <w:t>u znatnoj mjeri štetna za dobro stanje  i otpornost ekosustavâ; ili</w:t>
            </w:r>
          </w:p>
          <w:p w14:paraId="2BE2E3B9" w14:textId="77777777" w:rsidR="00306201" w:rsidRPr="00EB6910" w:rsidRDefault="00306201" w:rsidP="00306201">
            <w:pPr>
              <w:contextualSpacing/>
              <w:rPr>
                <w:rFonts w:eastAsia="Calibri"/>
              </w:rPr>
            </w:pPr>
            <w:r w:rsidRPr="00EB6910">
              <w:rPr>
                <w:rFonts w:eastAsia="Calibri"/>
              </w:rPr>
              <w:t>(ii)</w:t>
            </w:r>
            <w:r w:rsidRPr="00EB6910">
              <w:rPr>
                <w:rFonts w:eastAsia="Calibri"/>
              </w:rPr>
              <w:tab/>
              <w:t>štetna za stanje očuvanosti staništa i vrsta, među ostalim onih od interesa za Uniju?</w:t>
            </w:r>
          </w:p>
        </w:tc>
        <w:tc>
          <w:tcPr>
            <w:tcW w:w="173" w:type="pct"/>
            <w:shd w:val="clear" w:color="auto" w:fill="auto"/>
          </w:tcPr>
          <w:p w14:paraId="3A46E855" w14:textId="77777777" w:rsidR="00306201" w:rsidRPr="00EB6910" w:rsidRDefault="00306201" w:rsidP="00306201">
            <w:pPr>
              <w:tabs>
                <w:tab w:val="left" w:pos="311"/>
              </w:tabs>
              <w:jc w:val="center"/>
              <w:rPr>
                <w:rFonts w:eastAsia="Calibri"/>
              </w:rPr>
            </w:pPr>
            <w:r w:rsidRPr="00EB6910">
              <w:rPr>
                <w:rFonts w:eastAsia="Calibri"/>
              </w:rPr>
              <w:t>X</w:t>
            </w:r>
          </w:p>
        </w:tc>
        <w:tc>
          <w:tcPr>
            <w:tcW w:w="1214" w:type="pct"/>
            <w:shd w:val="clear" w:color="auto" w:fill="auto"/>
          </w:tcPr>
          <w:p w14:paraId="4D4BD13B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Logistički i distribucijski centri neće se graditi na ili u blizini, niti će imati utjecaj na zaštićena prirodna područja, poput zemljišta koje je određeno kao Natura 2000 područje, UNESCO-</w:t>
            </w:r>
            <w:proofErr w:type="spellStart"/>
            <w:r w:rsidRPr="00EB6910">
              <w:rPr>
                <w:rFonts w:eastAsia="Calibri"/>
              </w:rPr>
              <w:t>va</w:t>
            </w:r>
            <w:proofErr w:type="spellEnd"/>
            <w:r w:rsidRPr="00EB6910">
              <w:rPr>
                <w:rFonts w:eastAsia="Calibri"/>
              </w:rPr>
              <w:t xml:space="preserve"> svjetska baština ili ključno područje biološke raznolikosti.</w:t>
            </w:r>
          </w:p>
          <w:p w14:paraId="70A6A1CB" w14:textId="77777777" w:rsidR="00306201" w:rsidRPr="00EB6910" w:rsidRDefault="00306201" w:rsidP="00306201">
            <w:pPr>
              <w:rPr>
                <w:rFonts w:eastAsia="Calibri"/>
              </w:rPr>
            </w:pPr>
          </w:p>
          <w:p w14:paraId="4399CF06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Logistički i distribucijski centri neće se graditi na obradivim ili zelenim površinama prepoznate visoke vrijednosti biološke raznolikosti i zemljištu koje služi kao stanište ugroženih vrsta (flora i fauna) uvrštenih u Europski crveni popis.</w:t>
            </w:r>
          </w:p>
          <w:p w14:paraId="7EA7F0C4" w14:textId="77777777" w:rsidR="00306201" w:rsidRPr="00EB6910" w:rsidRDefault="00306201" w:rsidP="00306201">
            <w:pPr>
              <w:rPr>
                <w:rFonts w:eastAsia="Calibri"/>
              </w:rPr>
            </w:pPr>
          </w:p>
          <w:p w14:paraId="0BCC9C5F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 xml:space="preserve">Najmanje 80% svih drvnih proizvoda korištenih u novoj gradnji za konstrukcije, obloge i završne obloge bit će reciklirano / ponovno upotrijebljeno ili dobiveno iz šuma kojima se </w:t>
            </w:r>
            <w:r w:rsidRPr="00EB6910">
              <w:rPr>
                <w:rFonts w:eastAsia="Calibri"/>
              </w:rPr>
              <w:lastRenderedPageBreak/>
              <w:t>održivo upravlja, što se potvrđuje nezavisnim revizijskim provjerama koje su provela akreditirana tijela za certifikaciju, npr. FSC / PEFC standardi ili ekvivalentni standardi.</w:t>
            </w:r>
          </w:p>
        </w:tc>
        <w:tc>
          <w:tcPr>
            <w:tcW w:w="1785" w:type="pct"/>
          </w:tcPr>
          <w:p w14:paraId="3F0005EF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lastRenderedPageBreak/>
              <w:t xml:space="preserve">Rješenje o prihvatljivosti zahvata na okoliš (PUO) </w:t>
            </w:r>
          </w:p>
          <w:p w14:paraId="7EF06D6C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68A2D300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ili</w:t>
            </w:r>
          </w:p>
          <w:p w14:paraId="49859020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 </w:t>
            </w:r>
          </w:p>
          <w:p w14:paraId="23F6EF66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Rješenje  kojim se dokazuje da za zahvat nije potrebno povesti PUO</w:t>
            </w:r>
          </w:p>
          <w:p w14:paraId="534AD260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 </w:t>
            </w:r>
          </w:p>
          <w:p w14:paraId="7875A129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ili</w:t>
            </w:r>
          </w:p>
          <w:p w14:paraId="53B49E80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53317109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 Mišljenje da za zahvat nije potrebno provesti ocjenu o potrebi PUO</w:t>
            </w:r>
          </w:p>
          <w:p w14:paraId="2ACA4CA0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2109D9CA" w14:textId="2DEA4E3F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Okolišna dozvola</w:t>
            </w:r>
          </w:p>
        </w:tc>
        <w:tc>
          <w:tcPr>
            <w:tcW w:w="1023" w:type="pct"/>
            <w:shd w:val="clear" w:color="auto" w:fill="auto"/>
          </w:tcPr>
          <w:p w14:paraId="2EA13865" w14:textId="42A72381" w:rsidR="00306201" w:rsidRPr="00EB6910" w:rsidRDefault="00306201" w:rsidP="00306201">
            <w:pPr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t>Obrazloženje -ispunjava prijavitelj- pozvati se na dokumente i provedene procedure kojima se potvrđuje sukladnost projektnog prijedloga s navedenim načelima</w:t>
            </w:r>
          </w:p>
          <w:p w14:paraId="4A2B3C2D" w14:textId="502F39D1" w:rsidR="00306201" w:rsidRPr="00EB6910" w:rsidRDefault="00306201" w:rsidP="00306201">
            <w:pPr>
              <w:rPr>
                <w:rFonts w:eastAsia="Calibri"/>
              </w:rPr>
            </w:pPr>
          </w:p>
        </w:tc>
      </w:tr>
    </w:tbl>
    <w:p w14:paraId="450616DA" w14:textId="77777777" w:rsidR="00EB6910" w:rsidRPr="00E666D8" w:rsidRDefault="00EB6910" w:rsidP="00EB6910">
      <w:pPr>
        <w:pStyle w:val="Odlomakpopisa"/>
        <w:ind w:left="644"/>
        <w:rPr>
          <w:rFonts w:ascii="Times New Roman" w:hAnsi="Times New Roman"/>
        </w:rPr>
      </w:pPr>
    </w:p>
    <w:p w14:paraId="1009A006" w14:textId="5C4CB216" w:rsidR="00EB6910" w:rsidRDefault="00EB6910" w:rsidP="00EB6910"/>
    <w:p w14:paraId="61B6A15C" w14:textId="77777777" w:rsidR="0041227C" w:rsidRPr="0014602E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4602E">
        <w:t xml:space="preserve">U &lt; </w:t>
      </w:r>
      <w:r w:rsidRPr="0014602E">
        <w:rPr>
          <w:i/>
        </w:rPr>
        <w:t xml:space="preserve">umetnuti  mjesto  </w:t>
      </w:r>
      <w:r w:rsidRPr="0014602E">
        <w:t xml:space="preserve">&gt;, dana  &lt; </w:t>
      </w:r>
      <w:r w:rsidRPr="0014602E">
        <w:rPr>
          <w:i/>
        </w:rPr>
        <w:t>umetnuti</w:t>
      </w:r>
      <w:r w:rsidRPr="0014602E">
        <w:t xml:space="preserve">  </w:t>
      </w:r>
      <w:r w:rsidRPr="0014602E">
        <w:rPr>
          <w:i/>
        </w:rPr>
        <w:t xml:space="preserve">datum </w:t>
      </w:r>
      <w:r w:rsidRPr="0014602E">
        <w:t xml:space="preserve">&gt; </w:t>
      </w:r>
      <w:r>
        <w:t xml:space="preserve">22  </w:t>
      </w:r>
      <w:r w:rsidRPr="0014602E">
        <w:t>&lt; umetnuti  godinu).</w:t>
      </w:r>
    </w:p>
    <w:p w14:paraId="36592223" w14:textId="77777777" w:rsidR="0041227C" w:rsidRPr="0014602E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4602E">
        <w:t>&lt;</w:t>
      </w:r>
      <w:r w:rsidRPr="0014602E">
        <w:rPr>
          <w:i/>
        </w:rPr>
        <w:t>odabrati:</w:t>
      </w:r>
      <w:r w:rsidRPr="0014602E">
        <w:t xml:space="preserve"> Prijavitelj / Partner &gt; &lt; </w:t>
      </w:r>
      <w:r w:rsidRPr="0014602E">
        <w:rPr>
          <w:i/>
        </w:rPr>
        <w:t xml:space="preserve">ili umetnuti, ako je primjenjivo - osoba po zakonu ovlaštena za zastupanje Prijavitelja / Partnera  </w:t>
      </w:r>
      <w:r w:rsidRPr="0014602E">
        <w:t>&gt;</w:t>
      </w:r>
    </w:p>
    <w:p w14:paraId="147F58C8" w14:textId="77777777" w:rsidR="0041227C" w:rsidRPr="0014602E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4602E">
        <w:t xml:space="preserve">Funkcija &lt; </w:t>
      </w:r>
      <w:r w:rsidRPr="0014602E">
        <w:rPr>
          <w:i/>
        </w:rPr>
        <w:t xml:space="preserve">umetnuti  </w:t>
      </w:r>
      <w:r w:rsidRPr="0014602E">
        <w:t xml:space="preserve">&gt;  </w:t>
      </w:r>
    </w:p>
    <w:p w14:paraId="747DAFBE" w14:textId="77777777" w:rsidR="0041227C" w:rsidRPr="0014602E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4602E">
        <w:t xml:space="preserve">Potpis &lt; </w:t>
      </w:r>
      <w:r w:rsidRPr="0014602E">
        <w:rPr>
          <w:i/>
        </w:rPr>
        <w:t xml:space="preserve">umetnuti  </w:t>
      </w:r>
      <w:r w:rsidRPr="0014602E">
        <w:t>&gt;  i pečat  &lt; umetnuti  &gt;</w:t>
      </w:r>
    </w:p>
    <w:p w14:paraId="38782D08" w14:textId="1492E061" w:rsidR="0014005C" w:rsidRDefault="0014005C" w:rsidP="00EB6910"/>
    <w:sectPr w:rsidR="0014005C" w:rsidSect="00EB69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70A4F" w14:textId="77777777" w:rsidR="006D75F1" w:rsidRDefault="006D75F1" w:rsidP="004079A1">
      <w:r>
        <w:separator/>
      </w:r>
    </w:p>
  </w:endnote>
  <w:endnote w:type="continuationSeparator" w:id="0">
    <w:p w14:paraId="371DF4CC" w14:textId="77777777" w:rsidR="006D75F1" w:rsidRDefault="006D75F1" w:rsidP="0040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645EE" w14:textId="77777777" w:rsidR="006D75F1" w:rsidRDefault="006D75F1" w:rsidP="004079A1">
      <w:r>
        <w:separator/>
      </w:r>
    </w:p>
  </w:footnote>
  <w:footnote w:type="continuationSeparator" w:id="0">
    <w:p w14:paraId="78EE4BCB" w14:textId="77777777" w:rsidR="006D75F1" w:rsidRDefault="006D75F1" w:rsidP="0040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011EE"/>
    <w:multiLevelType w:val="hybridMultilevel"/>
    <w:tmpl w:val="1DF0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58"/>
    <w:rsid w:val="0014005C"/>
    <w:rsid w:val="00197BF0"/>
    <w:rsid w:val="001C7709"/>
    <w:rsid w:val="00306201"/>
    <w:rsid w:val="004079A1"/>
    <w:rsid w:val="0041227C"/>
    <w:rsid w:val="005564E7"/>
    <w:rsid w:val="00584463"/>
    <w:rsid w:val="005A6186"/>
    <w:rsid w:val="00632658"/>
    <w:rsid w:val="006D75F1"/>
    <w:rsid w:val="00C05DA8"/>
    <w:rsid w:val="00D21381"/>
    <w:rsid w:val="00E81FE1"/>
    <w:rsid w:val="00EB6910"/>
    <w:rsid w:val="00ED4C9A"/>
    <w:rsid w:val="00F96515"/>
    <w:rsid w:val="00FF33A5"/>
    <w:rsid w:val="2CCE6150"/>
    <w:rsid w:val="3B2F8C5C"/>
    <w:rsid w:val="5D2A3179"/>
    <w:rsid w:val="678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333B"/>
  <w15:chartTrackingRefBased/>
  <w15:docId w15:val="{3F7D65E6-7FCD-4020-AF76-183122BB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B691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B69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07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7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079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7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61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186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A6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pgi.gov.hr/o-ministarstvu/djelokrug/energetska-ucinkovitost-u-zgradarstvu/zgrade-gotovo-nulte-energije-nzeb/pojasnjenje-primjene-odredbi-vezanih-uz-standard-gradnje-zgrada-gotovo-nulte-energije-nzeb/1058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C8F94-766F-423F-A7FB-E7AC2FA04AE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f93994b9-8838-4218-bb0b-89feb1b86a4e"/>
    <ds:schemaRef ds:uri="6f7cfc71-8439-4172-a41b-811e6fd71ff2"/>
  </ds:schemaRefs>
</ds:datastoreItem>
</file>

<file path=customXml/itemProps2.xml><?xml version="1.0" encoding="utf-8"?>
<ds:datastoreItem xmlns:ds="http://schemas.openxmlformats.org/officeDocument/2006/customXml" ds:itemID="{E10C0E30-1464-439D-834A-FF1176970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842A2-2CAA-493E-9826-E774F19F7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1667</Words>
  <Characters>9503</Characters>
  <Application>Microsoft Office Word</Application>
  <DocSecurity>0</DocSecurity>
  <Lines>79</Lines>
  <Paragraphs>22</Paragraphs>
  <ScaleCrop>false</ScaleCrop>
  <Company>MP</Company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Šetka</dc:creator>
  <cp:keywords/>
  <dc:description/>
  <cp:lastModifiedBy>Kristina Šetka</cp:lastModifiedBy>
  <cp:revision>5</cp:revision>
  <dcterms:created xsi:type="dcterms:W3CDTF">2022-03-31T12:50:00Z</dcterms:created>
  <dcterms:modified xsi:type="dcterms:W3CDTF">2022-04-05T11:21:00Z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