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DF" w:rsidRPr="00E50BB2" w:rsidRDefault="00036CDF" w:rsidP="00036CDF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32"/>
          <w:szCs w:val="32"/>
          <w:lang w:eastAsia="en-US"/>
        </w:rPr>
      </w:pPr>
      <w:bookmarkStart w:id="0" w:name="_Toc70595767"/>
      <w:r w:rsidRPr="00E50BB2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>C1.3. Unaprjeđenje vodnog gospodarstva i gospodarenja otpadom</w:t>
      </w:r>
      <w:bookmarkEnd w:id="0"/>
      <w:r w:rsidRPr="00E50BB2">
        <w:rPr>
          <w:rFonts w:ascii="Arial Narrow" w:eastAsiaTheme="minorHAnsi" w:hAnsi="Arial Narrow" w:cstheme="minorBidi"/>
          <w:b/>
          <w:sz w:val="32"/>
          <w:szCs w:val="32"/>
          <w:lang w:eastAsia="en-US"/>
        </w:rPr>
        <w:t xml:space="preserve"> </w:t>
      </w:r>
    </w:p>
    <w:p w:rsidR="006A7967" w:rsidRPr="00E50BB2" w:rsidRDefault="006A7967" w:rsidP="00036CDF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</w:pPr>
      <w:r w:rsidRPr="00E50BB2"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  <w:t xml:space="preserve">C1.3. R1 Provedba programa vodnog gospodarstva  </w:t>
      </w:r>
    </w:p>
    <w:p w:rsidR="00B477B2" w:rsidRPr="00E50BB2" w:rsidRDefault="00B477B2" w:rsidP="00B477B2">
      <w:pPr>
        <w:spacing w:after="0"/>
        <w:jc w:val="left"/>
        <w:rPr>
          <w:rFonts w:ascii="Vollkorn" w:hAnsi="Vollkorn" w:cs="Arial"/>
          <w:i/>
          <w:noProof/>
          <w:color w:val="000000" w:themeColor="text1"/>
        </w:rPr>
      </w:pPr>
      <w:r w:rsidRPr="00E50BB2">
        <w:rPr>
          <w:rFonts w:ascii="Vollkorn" w:hAnsi="Vollkorn" w:cs="Arial"/>
          <w:noProof/>
          <w:color w:val="000000" w:themeColor="text1"/>
        </w:rPr>
        <w:t>Potrebno je ispuniti posljednji stupac u kojem će se obrazložiti na koji način konkretan projektni prijedlog  zadovoljava uvijete iz pojedinog zahtjeva DNSH, odnosono na koji način je sukladan s obrazloženjem navedenim u stupcu Obrazloženja (</w:t>
      </w:r>
      <w:r w:rsidRPr="00E50BB2">
        <w:rPr>
          <w:rFonts w:ascii="Vollkorn" w:hAnsi="Vollkorn" w:cs="Arial"/>
          <w:i/>
          <w:noProof/>
          <w:color w:val="000000" w:themeColor="text1"/>
        </w:rPr>
        <w:t>Obrazloženje ako je odabrano „Ne“ i</w:t>
      </w:r>
    </w:p>
    <w:p w:rsidR="0032323A" w:rsidRPr="00E50BB2" w:rsidRDefault="00B477B2" w:rsidP="00B477B2">
      <w:pPr>
        <w:spacing w:after="0"/>
        <w:jc w:val="left"/>
        <w:rPr>
          <w:rFonts w:ascii="Vollkorn" w:hAnsi="Vollkorn" w:cs="Arial"/>
          <w:noProof/>
          <w:color w:val="000000" w:themeColor="text1"/>
        </w:rPr>
      </w:pPr>
      <w:r w:rsidRPr="00E50BB2">
        <w:rPr>
          <w:rFonts w:ascii="Vollkorn" w:hAnsi="Vollkorn" w:cs="Arial"/>
          <w:i/>
          <w:noProof/>
          <w:color w:val="000000" w:themeColor="text1"/>
        </w:rPr>
        <w:t>Materijalno obrazloženje</w:t>
      </w:r>
      <w:r w:rsidRPr="00E50BB2">
        <w:rPr>
          <w:rFonts w:ascii="Vollkorn" w:hAnsi="Vollkorn" w:cs="Arial"/>
          <w:noProof/>
          <w:color w:val="000000" w:themeColor="text1"/>
        </w:rPr>
        <w:t>) kakvo je dano u okviru NPOO-a.</w:t>
      </w:r>
    </w:p>
    <w:p w:rsidR="00B477B2" w:rsidRPr="00E50BB2" w:rsidRDefault="00B477B2" w:rsidP="005359C4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</w:pPr>
    </w:p>
    <w:p w:rsidR="00FA4BEA" w:rsidRPr="00E50BB2" w:rsidRDefault="002305BA" w:rsidP="00B477B2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</w:pPr>
      <w:r w:rsidRPr="00E50BB2"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  <w:t>C1.3. R1-I2 Program razvoja javne vodoopskrbe</w:t>
      </w:r>
    </w:p>
    <w:tbl>
      <w:tblPr>
        <w:tblStyle w:val="TableGrid11"/>
        <w:tblpPr w:leftFromText="181" w:rightFromText="181" w:vertAnchor="text" w:horzAnchor="margin" w:tblpY="1"/>
        <w:tblW w:w="14190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3727"/>
        <w:gridCol w:w="933"/>
        <w:gridCol w:w="932"/>
        <w:gridCol w:w="4299"/>
        <w:gridCol w:w="4299"/>
      </w:tblGrid>
      <w:tr w:rsidR="00265CDB" w:rsidRPr="00E50BB2" w:rsidTr="00B7186C">
        <w:trPr>
          <w:trHeight w:val="985"/>
        </w:trPr>
        <w:tc>
          <w:tcPr>
            <w:tcW w:w="3727" w:type="dxa"/>
            <w:shd w:val="clear" w:color="auto" w:fill="2C398B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 w:cstheme="majorHAnsi"/>
                <w:i/>
                <w:iCs/>
                <w:color w:val="FFFFFF" w:themeColor="background1"/>
                <w:sz w:val="18"/>
                <w:szCs w:val="18"/>
                <w:lang w:val="hr-HR"/>
              </w:rPr>
            </w:pPr>
            <w:proofErr w:type="spellStart"/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Molimo</w:t>
            </w:r>
            <w:proofErr w:type="spellEnd"/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navedite</w:t>
            </w:r>
            <w:proofErr w:type="spellEnd"/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koji</w:t>
            </w:r>
            <w:proofErr w:type="spellEnd"/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 xml:space="preserve"> od niže navedenih ciljeva zaštite okoliša zahtijevaju temeljitu procjenu mjere u smislu načela „Ne nanosi značajnu štetu“</w:t>
            </w:r>
          </w:p>
        </w:tc>
        <w:tc>
          <w:tcPr>
            <w:tcW w:w="933" w:type="dxa"/>
            <w:shd w:val="clear" w:color="auto" w:fill="2C398B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932" w:type="dxa"/>
            <w:shd w:val="clear" w:color="auto" w:fill="2C398B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4299" w:type="dxa"/>
            <w:shd w:val="clear" w:color="auto" w:fill="2C398B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  <w:lang w:val="fr-BE"/>
              </w:rPr>
            </w:pPr>
            <w:r w:rsidRPr="00E50BB2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  <w:lang w:val="fr-BE"/>
              </w:rPr>
              <w:t>Obrazloženje ako je odabrano „Ne“</w:t>
            </w:r>
          </w:p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 w:cstheme="majorHAnsi"/>
                <w:i/>
                <w:iCs/>
                <w:color w:val="FFFFFF" w:themeColor="background1"/>
                <w:sz w:val="18"/>
                <w:szCs w:val="18"/>
                <w:lang w:val="fr-BE"/>
              </w:rPr>
            </w:pPr>
          </w:p>
        </w:tc>
        <w:tc>
          <w:tcPr>
            <w:tcW w:w="4299" w:type="dxa"/>
            <w:shd w:val="clear" w:color="auto" w:fill="2C398B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 w:cstheme="majorHAnsi"/>
                <w:i/>
                <w:iCs/>
                <w:color w:val="FFFFFF" w:themeColor="background1"/>
                <w:sz w:val="18"/>
                <w:szCs w:val="18"/>
                <w:lang w:val="fr-BE"/>
              </w:rPr>
            </w:pPr>
            <w:r w:rsidRPr="00E50BB2">
              <w:rPr>
                <w:rFonts w:ascii="Vollkorn" w:hAnsi="Vollkorn" w:cs="Arial"/>
                <w:b/>
                <w:i/>
                <w:iCs/>
                <w:noProof/>
                <w:color w:val="FFFFFF" w:themeColor="background1"/>
                <w:sz w:val="18"/>
                <w:szCs w:val="18"/>
                <w:lang w:val="fr-BE"/>
              </w:rPr>
              <w:t>Obrazloženje sukladnosti projektnog prijedloga s navedenim načelima  (ispunjava prijavitelj)</w:t>
            </w:r>
          </w:p>
        </w:tc>
      </w:tr>
      <w:tr w:rsidR="002D4B57" w:rsidRPr="00E50BB2" w:rsidTr="00B7186C">
        <w:trPr>
          <w:trHeight w:val="559"/>
        </w:trPr>
        <w:tc>
          <w:tcPr>
            <w:tcW w:w="3727" w:type="dxa"/>
          </w:tcPr>
          <w:p w:rsidR="002D4B57" w:rsidRPr="00E50BB2" w:rsidRDefault="002D4B57" w:rsidP="002D4B57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Ublažavanje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klimatskih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promjena</w:t>
            </w:r>
            <w:proofErr w:type="spellEnd"/>
          </w:p>
        </w:tc>
        <w:tc>
          <w:tcPr>
            <w:tcW w:w="933" w:type="dxa"/>
          </w:tcPr>
          <w:p w:rsidR="002D4B57" w:rsidRPr="00E50BB2" w:rsidRDefault="002D4B57" w:rsidP="002D4B57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</w:tcPr>
          <w:p w:rsidR="002D4B57" w:rsidRPr="00E50BB2" w:rsidRDefault="002D4B57" w:rsidP="00476C29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99" w:type="dxa"/>
          </w:tcPr>
          <w:p w:rsidR="002D4B57" w:rsidRPr="00E50BB2" w:rsidRDefault="002D4B57" w:rsidP="002D4B57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Ugradnja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korištenje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vodomjera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imat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će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pozitivan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utjecaj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ublažavanje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klimatskih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promjena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što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očituje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boljem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upravljanju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vodama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odnosno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kroz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kontrolu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zahvaćenih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količina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vode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uspostavom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telemetrijskog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sustava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pridonijet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će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kontroli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gubitaka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racionalnom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korištenju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vodnih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resursa</w:t>
            </w:r>
            <w:proofErr w:type="spellEnd"/>
            <w:r w:rsidRPr="002D4B57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99" w:type="dxa"/>
          </w:tcPr>
          <w:p w:rsidR="002D4B57" w:rsidRPr="00E50BB2" w:rsidRDefault="002D4B57" w:rsidP="002D4B57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F64E20">
              <w:rPr>
                <w:rFonts w:ascii="Vollkorn" w:hAnsi="Vollkorn" w:cs="Arial"/>
                <w:i/>
                <w:noProof/>
                <w:sz w:val="18"/>
                <w:szCs w:val="18"/>
              </w:rPr>
              <w:t>Obrazloženje – ispunjava prijavitelj – pozvati se na dokumente i provedene procedure kojima se potvrđuje sukladost projektnog prijedloga s navedenim načelima</w:t>
            </w:r>
          </w:p>
        </w:tc>
      </w:tr>
      <w:tr w:rsidR="002D4B57" w:rsidRPr="00E50BB2" w:rsidTr="00B7186C">
        <w:trPr>
          <w:trHeight w:val="567"/>
        </w:trPr>
        <w:tc>
          <w:tcPr>
            <w:tcW w:w="3727" w:type="dxa"/>
          </w:tcPr>
          <w:p w:rsidR="002D4B57" w:rsidRPr="00E50BB2" w:rsidRDefault="002D4B57" w:rsidP="002D4B57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Prilagodba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klimatskim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promjenama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</w:tcPr>
          <w:p w:rsidR="002D4B57" w:rsidRPr="00E50BB2" w:rsidRDefault="002D4B57" w:rsidP="002D4B57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</w:tcPr>
          <w:p w:rsidR="002D4B57" w:rsidRPr="00E50BB2" w:rsidRDefault="002D4B57" w:rsidP="002D4B57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99" w:type="dxa"/>
          </w:tcPr>
          <w:p w:rsidR="002D4B57" w:rsidRPr="00E50BB2" w:rsidRDefault="002D4B57" w:rsidP="002D4B57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Ne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očekuje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da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će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štetiti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prilagodbi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klimatskim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promjenama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budući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da se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može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očekivati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da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će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ulaganje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bolje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upravljanje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vodama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imati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pozitivan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utjecaj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prilagodbu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klimatskim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promjenama</w:t>
            </w:r>
            <w:proofErr w:type="spellEnd"/>
            <w:r w:rsidRPr="00FA4BEA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299" w:type="dxa"/>
          </w:tcPr>
          <w:p w:rsidR="002D4B57" w:rsidRPr="00E50BB2" w:rsidRDefault="002D4B57" w:rsidP="002D4B57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F64E20">
              <w:rPr>
                <w:rFonts w:ascii="Vollkorn" w:hAnsi="Vollkorn" w:cs="Arial"/>
                <w:i/>
                <w:noProof/>
                <w:sz w:val="18"/>
                <w:szCs w:val="18"/>
              </w:rPr>
              <w:t>Obrazloženje – ispunjava prijavitelj – pozvati se na dokumente i provedene procedure kojima se potvrđuje sukladost projektnog prijedloga s navedenim načelima</w:t>
            </w:r>
          </w:p>
        </w:tc>
      </w:tr>
      <w:tr w:rsidR="00265CDB" w:rsidRPr="00E50BB2" w:rsidTr="00B7186C">
        <w:trPr>
          <w:trHeight w:val="501"/>
        </w:trPr>
        <w:tc>
          <w:tcPr>
            <w:tcW w:w="3727" w:type="dxa"/>
          </w:tcPr>
          <w:p w:rsidR="00265CDB" w:rsidRPr="00E50BB2" w:rsidRDefault="00265CDB" w:rsidP="00265CDB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  <w:lang w:val="hr-HR"/>
              </w:rPr>
            </w:pPr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Održivo korištenje i zaštita vodnih i morskih resursa </w:t>
            </w:r>
          </w:p>
        </w:tc>
        <w:tc>
          <w:tcPr>
            <w:tcW w:w="933" w:type="dxa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932" w:type="dxa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r w:rsidRPr="00E50BB2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99" w:type="dxa"/>
          </w:tcPr>
          <w:p w:rsidR="00265CDB" w:rsidRPr="00E50BB2" w:rsidRDefault="00265CDB" w:rsidP="00265CDB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prati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kao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podrška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cilju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zaštite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okoliša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koeficijentom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od 100%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kao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takva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smatra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se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usklađenom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s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načelom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„Ne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nanosi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značajnu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štetu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“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za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relevantni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99" w:type="dxa"/>
          </w:tcPr>
          <w:p w:rsidR="00265CDB" w:rsidRPr="00E50BB2" w:rsidRDefault="00265CDB" w:rsidP="00476C29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E50BB2">
              <w:rPr>
                <w:rFonts w:ascii="Vollkorn" w:hAnsi="Vollkorn" w:cs="Arial"/>
                <w:i/>
                <w:noProof/>
                <w:sz w:val="18"/>
                <w:szCs w:val="18"/>
              </w:rPr>
              <w:t xml:space="preserve">Obrazloženje – ispunjava prijavitelj – pozvati se na dokumente i provedene </w:t>
            </w:r>
            <w:r w:rsidR="002D4B57">
              <w:rPr>
                <w:rFonts w:ascii="Vollkorn" w:hAnsi="Vollkorn" w:cs="Arial"/>
                <w:i/>
                <w:noProof/>
                <w:sz w:val="18"/>
                <w:szCs w:val="18"/>
              </w:rPr>
              <w:t>p</w:t>
            </w:r>
            <w:r w:rsidRPr="00E50BB2">
              <w:rPr>
                <w:rFonts w:ascii="Vollkorn" w:hAnsi="Vollkorn" w:cs="Arial"/>
                <w:i/>
                <w:noProof/>
                <w:sz w:val="18"/>
                <w:szCs w:val="18"/>
              </w:rPr>
              <w:t>rocedure kojima se potvrđuje sukladost projektnog prijedloga s navedenim načelima</w:t>
            </w:r>
          </w:p>
        </w:tc>
      </w:tr>
      <w:tr w:rsidR="00265CDB" w:rsidRPr="00E50BB2" w:rsidTr="00B7186C">
        <w:trPr>
          <w:trHeight w:val="906"/>
        </w:trPr>
        <w:tc>
          <w:tcPr>
            <w:tcW w:w="3727" w:type="dxa"/>
          </w:tcPr>
          <w:p w:rsidR="00265CDB" w:rsidRPr="00E50BB2" w:rsidRDefault="00265CDB" w:rsidP="00265CDB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  <w:lang w:val="hr-HR"/>
              </w:rPr>
            </w:pPr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Kružno gospodarstvo, uključujući sprječavanje nastanka i recikliranje otpada </w:t>
            </w:r>
          </w:p>
        </w:tc>
        <w:tc>
          <w:tcPr>
            <w:tcW w:w="933" w:type="dxa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932" w:type="dxa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99" w:type="dxa"/>
          </w:tcPr>
          <w:p w:rsidR="00265CDB" w:rsidRPr="00E50BB2" w:rsidRDefault="00265CDB" w:rsidP="00265CDB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Aktivnost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koju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podržava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ima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neznatni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predvidljivi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utjecaj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ovaj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zaštite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okoliša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uzimajući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obzir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izravne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primarne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neizravne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utjecaje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životnog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vijeka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99" w:type="dxa"/>
          </w:tcPr>
          <w:p w:rsidR="00265CDB" w:rsidRPr="00E50BB2" w:rsidRDefault="00B477B2" w:rsidP="00476C29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E50BB2">
              <w:rPr>
                <w:rFonts w:ascii="Vollkorn" w:hAnsi="Vollkorn" w:cs="Arial"/>
                <w:i/>
                <w:noProof/>
                <w:sz w:val="18"/>
                <w:szCs w:val="18"/>
              </w:rPr>
              <w:t>Obrazloženje – ispunjava prijavitelj – opisati na koji način konkretan projektni prijedlog  zadovoljava navedena načela</w:t>
            </w:r>
          </w:p>
        </w:tc>
      </w:tr>
      <w:tr w:rsidR="00265CDB" w:rsidRPr="00E50BB2" w:rsidTr="00B7186C">
        <w:trPr>
          <w:trHeight w:val="453"/>
        </w:trPr>
        <w:tc>
          <w:tcPr>
            <w:tcW w:w="3727" w:type="dxa"/>
          </w:tcPr>
          <w:p w:rsidR="00265CDB" w:rsidRPr="00E50BB2" w:rsidRDefault="00265CDB" w:rsidP="00265CDB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  <w:lang w:val="hr-HR"/>
              </w:rPr>
            </w:pPr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Sprječavanje i kontrola onečišćenja zraka, vode ili tla </w:t>
            </w:r>
          </w:p>
        </w:tc>
        <w:tc>
          <w:tcPr>
            <w:tcW w:w="933" w:type="dxa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32" w:type="dxa"/>
          </w:tcPr>
          <w:p w:rsidR="00265CDB" w:rsidRPr="00E50BB2" w:rsidRDefault="00265CDB" w:rsidP="00265CDB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99" w:type="dxa"/>
          </w:tcPr>
          <w:p w:rsidR="00265CDB" w:rsidRPr="00E50BB2" w:rsidRDefault="00265CDB" w:rsidP="00265CDB">
            <w:pPr>
              <w:spacing w:after="0" w:line="259" w:lineRule="auto"/>
              <w:jc w:val="left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299" w:type="dxa"/>
          </w:tcPr>
          <w:p w:rsidR="00265CDB" w:rsidRPr="00E50BB2" w:rsidRDefault="00265CDB" w:rsidP="00265CDB">
            <w:pPr>
              <w:spacing w:after="0" w:line="259" w:lineRule="auto"/>
              <w:jc w:val="left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</w:p>
        </w:tc>
      </w:tr>
      <w:tr w:rsidR="00226ED9" w:rsidRPr="00E50BB2" w:rsidTr="00B7186C">
        <w:trPr>
          <w:trHeight w:val="521"/>
        </w:trPr>
        <w:tc>
          <w:tcPr>
            <w:tcW w:w="3727" w:type="dxa"/>
          </w:tcPr>
          <w:p w:rsidR="00226ED9" w:rsidRPr="00E50BB2" w:rsidRDefault="00226ED9" w:rsidP="00265CDB">
            <w:pPr>
              <w:spacing w:after="0" w:line="259" w:lineRule="auto"/>
              <w:jc w:val="left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Zaštita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obnova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biološke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raznolikosti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>ekosustava</w:t>
            </w:r>
            <w:proofErr w:type="spellEnd"/>
            <w:r w:rsidRPr="00E50BB2">
              <w:rPr>
                <w:rFonts w:ascii="Vollkorn" w:hAnsi="Vollkor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</w:tcPr>
          <w:p w:rsidR="00226ED9" w:rsidRPr="00E50BB2" w:rsidRDefault="00226ED9" w:rsidP="00265CDB">
            <w:pPr>
              <w:spacing w:after="0" w:line="259" w:lineRule="auto"/>
              <w:jc w:val="center"/>
              <w:rPr>
                <w:rFonts w:ascii="Vollkorn" w:hAnsi="Vollkorn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dxa"/>
          </w:tcPr>
          <w:p w:rsidR="00226ED9" w:rsidRPr="00E50BB2" w:rsidRDefault="002D4B57" w:rsidP="00265CDB">
            <w:pPr>
              <w:spacing w:after="0" w:line="259" w:lineRule="auto"/>
              <w:jc w:val="center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4299" w:type="dxa"/>
          </w:tcPr>
          <w:p w:rsidR="00226ED9" w:rsidRPr="00E50BB2" w:rsidRDefault="002D4B57" w:rsidP="00265CDB">
            <w:pPr>
              <w:spacing w:after="0" w:line="259" w:lineRule="auto"/>
              <w:jc w:val="left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Aktivnost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koju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mjera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podržava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ima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neznatni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predvidljivi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utjecaj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na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ovaj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cilj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zaštite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okoliša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uzimajući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u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obzir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izravne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primarne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neizravne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utjecaje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tijekom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životnog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vijeka</w:t>
            </w:r>
            <w:proofErr w:type="spellEnd"/>
            <w:r w:rsidRPr="002D4B57"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299" w:type="dxa"/>
          </w:tcPr>
          <w:p w:rsidR="00226ED9" w:rsidRPr="00E50BB2" w:rsidRDefault="002D4B57" w:rsidP="00265CDB">
            <w:pPr>
              <w:spacing w:after="0" w:line="259" w:lineRule="auto"/>
              <w:jc w:val="left"/>
              <w:rPr>
                <w:rFonts w:ascii="Vollkorn" w:hAnsi="Vollkorn" w:cstheme="majorHAnsi"/>
                <w:color w:val="000000" w:themeColor="text1"/>
                <w:sz w:val="18"/>
                <w:szCs w:val="18"/>
              </w:rPr>
            </w:pPr>
            <w:r w:rsidRPr="00E50BB2">
              <w:rPr>
                <w:rFonts w:ascii="Vollkorn" w:hAnsi="Vollkorn" w:cs="Arial"/>
                <w:i/>
                <w:noProof/>
                <w:sz w:val="18"/>
                <w:szCs w:val="18"/>
              </w:rPr>
              <w:t xml:space="preserve">Obrazloženje – ispunjava prijavitelj – pozvati se na dokumente i provedene </w:t>
            </w:r>
            <w:r>
              <w:rPr>
                <w:rFonts w:ascii="Vollkorn" w:hAnsi="Vollkorn" w:cs="Arial"/>
                <w:i/>
                <w:noProof/>
                <w:sz w:val="18"/>
                <w:szCs w:val="18"/>
              </w:rPr>
              <w:t>p</w:t>
            </w:r>
            <w:r w:rsidRPr="00E50BB2">
              <w:rPr>
                <w:rFonts w:ascii="Vollkorn" w:hAnsi="Vollkorn" w:cs="Arial"/>
                <w:i/>
                <w:noProof/>
                <w:sz w:val="18"/>
                <w:szCs w:val="18"/>
              </w:rPr>
              <w:t>rocedure kojima se potvrđuje sukladost projektnog prijedloga s navedenim načelima</w:t>
            </w:r>
          </w:p>
        </w:tc>
      </w:tr>
    </w:tbl>
    <w:p w:rsidR="00FA4BEA" w:rsidRPr="00E50BB2" w:rsidRDefault="00FA4BEA" w:rsidP="00FA4BEA">
      <w:pPr>
        <w:rPr>
          <w:rFonts w:ascii="Arial Narrow" w:hAnsi="Arial Narrow" w:cs="Arial"/>
          <w:b/>
          <w:bCs/>
          <w:szCs w:val="20"/>
        </w:rPr>
      </w:pPr>
    </w:p>
    <w:tbl>
      <w:tblPr>
        <w:tblStyle w:val="TableGrid2"/>
        <w:tblpPr w:leftFromText="181" w:rightFromText="181" w:vertAnchor="text" w:horzAnchor="margin" w:tblpY="1"/>
        <w:tblW w:w="14209" w:type="dxa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3005"/>
        <w:gridCol w:w="818"/>
        <w:gridCol w:w="5193"/>
        <w:gridCol w:w="5193"/>
      </w:tblGrid>
      <w:tr w:rsidR="00D274B5" w:rsidRPr="00E50BB2" w:rsidTr="00D274B5">
        <w:tc>
          <w:tcPr>
            <w:tcW w:w="3005" w:type="dxa"/>
            <w:shd w:val="clear" w:color="auto" w:fill="2C398B"/>
          </w:tcPr>
          <w:p w:rsidR="00D274B5" w:rsidRPr="00E50BB2" w:rsidRDefault="00D274B5" w:rsidP="00D274B5">
            <w:pPr>
              <w:spacing w:after="160" w:line="259" w:lineRule="auto"/>
              <w:jc w:val="center"/>
              <w:rPr>
                <w:rFonts w:ascii="Vollkorn" w:hAnsi="Vollkorn" w:cstheme="majorHAnsi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E50BB2"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  <w:r w:rsidRPr="00E50BB2"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shd w:val="clear" w:color="auto" w:fill="2C398B"/>
          </w:tcPr>
          <w:p w:rsidR="00D274B5" w:rsidRPr="00E50BB2" w:rsidRDefault="00D274B5" w:rsidP="00D274B5">
            <w:pPr>
              <w:spacing w:after="160" w:line="259" w:lineRule="auto"/>
              <w:jc w:val="center"/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E50BB2"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193" w:type="dxa"/>
            <w:shd w:val="clear" w:color="auto" w:fill="2C398B"/>
          </w:tcPr>
          <w:p w:rsidR="00D274B5" w:rsidRPr="00E50BB2" w:rsidRDefault="00D274B5" w:rsidP="00D274B5">
            <w:pPr>
              <w:spacing w:after="160" w:line="259" w:lineRule="auto"/>
              <w:jc w:val="center"/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E50BB2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5193" w:type="dxa"/>
            <w:shd w:val="clear" w:color="auto" w:fill="2C398B"/>
          </w:tcPr>
          <w:p w:rsidR="00D274B5" w:rsidRPr="00E50BB2" w:rsidRDefault="0006521A" w:rsidP="00D274B5">
            <w:pPr>
              <w:spacing w:after="160" w:line="259" w:lineRule="auto"/>
              <w:jc w:val="center"/>
              <w:rPr>
                <w:rFonts w:ascii="Vollkorn" w:hAnsi="Vollkorn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E50BB2">
              <w:rPr>
                <w:rFonts w:ascii="Vollkorn" w:hAnsi="Vollkorn" w:cs="Arial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D274B5" w:rsidRPr="00E50BB2" w:rsidTr="00D274B5">
        <w:tc>
          <w:tcPr>
            <w:tcW w:w="3005" w:type="dxa"/>
          </w:tcPr>
          <w:p w:rsidR="00D274B5" w:rsidRPr="00E50BB2" w:rsidRDefault="00D274B5" w:rsidP="00D274B5">
            <w:pPr>
              <w:spacing w:after="0" w:line="259" w:lineRule="auto"/>
              <w:jc w:val="left"/>
              <w:rPr>
                <w:rFonts w:ascii="Vollkorn" w:hAnsi="Vollkorn" w:cs="Arial"/>
                <w:sz w:val="18"/>
                <w:szCs w:val="18"/>
                <w:lang w:val="hr-HR"/>
              </w:rPr>
            </w:pPr>
            <w:proofErr w:type="spellStart"/>
            <w:r w:rsidRPr="00E50BB2">
              <w:rPr>
                <w:rFonts w:ascii="Vollkorn" w:hAnsi="Vollkorn" w:cs="Arial"/>
                <w:sz w:val="18"/>
                <w:szCs w:val="18"/>
              </w:rPr>
              <w:t>Sprječavanje</w:t>
            </w:r>
            <w:proofErr w:type="spellEnd"/>
            <w:r w:rsidRPr="00E50BB2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E50BB2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 w:cs="Arial"/>
                <w:sz w:val="18"/>
                <w:szCs w:val="18"/>
              </w:rPr>
              <w:t>kontrola</w:t>
            </w:r>
            <w:proofErr w:type="spellEnd"/>
            <w:r w:rsidRPr="00E50BB2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E50BB2">
              <w:rPr>
                <w:rFonts w:ascii="Vollkorn" w:hAnsi="Vollkorn" w:cs="Arial"/>
                <w:sz w:val="18"/>
                <w:szCs w:val="18"/>
              </w:rPr>
              <w:t>onečišćenja</w:t>
            </w:r>
            <w:proofErr w:type="spellEnd"/>
            <w:r w:rsidRPr="00E50BB2">
              <w:rPr>
                <w:rFonts w:ascii="Vollkorn" w:hAnsi="Vollkorn" w:cs="Arial"/>
                <w:sz w:val="18"/>
                <w:szCs w:val="18"/>
              </w:rPr>
              <w:t>: Očekuje li se da će mjera dovesti do značajnog povećanja emisija onečišćujućih tvari (4) u zrak, vodu ili tlo?</w:t>
            </w:r>
          </w:p>
        </w:tc>
        <w:tc>
          <w:tcPr>
            <w:tcW w:w="818" w:type="dxa"/>
          </w:tcPr>
          <w:p w:rsidR="00D274B5" w:rsidRPr="00E50BB2" w:rsidRDefault="00D274B5" w:rsidP="00D274B5">
            <w:pPr>
              <w:tabs>
                <w:tab w:val="left" w:pos="311"/>
              </w:tabs>
              <w:spacing w:after="0" w:line="259" w:lineRule="auto"/>
              <w:jc w:val="center"/>
              <w:rPr>
                <w:rFonts w:ascii="Vollkorn" w:hAnsi="Vollkorn" w:cs="Arial"/>
                <w:sz w:val="18"/>
                <w:szCs w:val="18"/>
              </w:rPr>
            </w:pPr>
            <w:r w:rsidRPr="00E50BB2">
              <w:rPr>
                <w:rFonts w:ascii="Vollkorn" w:hAnsi="Vollkorn" w:cs="Arial"/>
                <w:sz w:val="18"/>
                <w:szCs w:val="18"/>
              </w:rPr>
              <w:t>X</w:t>
            </w:r>
          </w:p>
        </w:tc>
        <w:tc>
          <w:tcPr>
            <w:tcW w:w="5193" w:type="dxa"/>
          </w:tcPr>
          <w:p w:rsidR="00D274B5" w:rsidRPr="00E50BB2" w:rsidRDefault="00B7186C" w:rsidP="00D274B5">
            <w:pPr>
              <w:spacing w:after="0" w:line="259" w:lineRule="auto"/>
              <w:jc w:val="left"/>
              <w:rPr>
                <w:rFonts w:ascii="Vollkorn" w:hAnsi="Vollkorn" w:cs="Arial"/>
                <w:sz w:val="18"/>
                <w:szCs w:val="18"/>
              </w:rPr>
            </w:pPr>
            <w:r w:rsidRPr="00B7186C">
              <w:rPr>
                <w:rFonts w:ascii="Vollkorn" w:hAnsi="Vollkorn" w:cs="Arial"/>
                <w:sz w:val="18"/>
                <w:szCs w:val="18"/>
              </w:rPr>
              <w:t xml:space="preserve">Ne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očekuje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se da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će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mjera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dovesti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do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značajnog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povećanja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emisija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onečišćujućih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tvari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u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zrak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vodu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ili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tlo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jer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se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ista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temelji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ugradnji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mjernih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uređaja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mjestima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zahvaćanja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vode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na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evidentiranju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prikupljanju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,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obradi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kontroli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podataka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o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količini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vode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radi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učinkovitijeg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sustava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vodoopskrbe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i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smanjenih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gubitaka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 xml:space="preserve"> </w:t>
            </w:r>
            <w:proofErr w:type="spellStart"/>
            <w:r w:rsidRPr="00B7186C">
              <w:rPr>
                <w:rFonts w:ascii="Vollkorn" w:hAnsi="Vollkorn" w:cs="Arial"/>
                <w:sz w:val="18"/>
                <w:szCs w:val="18"/>
              </w:rPr>
              <w:t>vode</w:t>
            </w:r>
            <w:proofErr w:type="spellEnd"/>
            <w:r w:rsidRPr="00B7186C">
              <w:rPr>
                <w:rFonts w:ascii="Vollkorn" w:hAnsi="Vollkorn" w:cs="Arial"/>
                <w:sz w:val="18"/>
                <w:szCs w:val="18"/>
              </w:rPr>
              <w:t>.</w:t>
            </w:r>
          </w:p>
        </w:tc>
        <w:tc>
          <w:tcPr>
            <w:tcW w:w="5193" w:type="dxa"/>
          </w:tcPr>
          <w:p w:rsidR="00D274B5" w:rsidRPr="00E50BB2" w:rsidRDefault="0006521A" w:rsidP="00476C29">
            <w:pPr>
              <w:spacing w:after="0" w:line="259" w:lineRule="auto"/>
              <w:jc w:val="left"/>
              <w:rPr>
                <w:rFonts w:ascii="Vollkorn" w:hAnsi="Vollkorn" w:cs="Arial"/>
                <w:sz w:val="18"/>
                <w:szCs w:val="18"/>
              </w:rPr>
            </w:pPr>
            <w:r w:rsidRPr="00E50BB2">
              <w:rPr>
                <w:rFonts w:ascii="Vollkorn" w:hAnsi="Vollkorn" w:cs="Arial"/>
                <w:i/>
                <w:noProof/>
                <w:sz w:val="18"/>
                <w:szCs w:val="18"/>
              </w:rPr>
              <w:t xml:space="preserve">Obrazloženje – ispunjava prijavitelj – pozvati se na dokumente i provedene </w:t>
            </w:r>
            <w:r w:rsidR="002D4B57">
              <w:rPr>
                <w:rFonts w:ascii="Vollkorn" w:hAnsi="Vollkorn" w:cs="Arial"/>
                <w:i/>
                <w:noProof/>
                <w:sz w:val="18"/>
                <w:szCs w:val="18"/>
              </w:rPr>
              <w:t>p</w:t>
            </w:r>
            <w:r w:rsidRPr="00E50BB2">
              <w:rPr>
                <w:rFonts w:ascii="Vollkorn" w:hAnsi="Vollkorn" w:cs="Arial"/>
                <w:i/>
                <w:noProof/>
                <w:sz w:val="18"/>
                <w:szCs w:val="18"/>
              </w:rPr>
              <w:t>rocedure kojima se potvrđuje sukladost projektnog prijedloga s navedenim načelima</w:t>
            </w:r>
          </w:p>
        </w:tc>
      </w:tr>
    </w:tbl>
    <w:p w:rsidR="002305BA" w:rsidRDefault="002305BA"/>
    <w:sectPr w:rsidR="002305BA" w:rsidSect="00AC6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llkorn">
    <w:altName w:val="Cambria Math"/>
    <w:charset w:val="EE"/>
    <w:family w:val="auto"/>
    <w:pitch w:val="variable"/>
    <w:sig w:usb0="00000001" w:usb1="420060FB" w:usb2="03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734B"/>
    <w:multiLevelType w:val="hybridMultilevel"/>
    <w:tmpl w:val="A2005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Heading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3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B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329A7"/>
    <w:rsid w:val="00036CDF"/>
    <w:rsid w:val="0006521A"/>
    <w:rsid w:val="00084900"/>
    <w:rsid w:val="000E1F14"/>
    <w:rsid w:val="00103EAD"/>
    <w:rsid w:val="00106836"/>
    <w:rsid w:val="001B6DC6"/>
    <w:rsid w:val="001D31EC"/>
    <w:rsid w:val="001D6925"/>
    <w:rsid w:val="00226ED9"/>
    <w:rsid w:val="002305BA"/>
    <w:rsid w:val="00265CDB"/>
    <w:rsid w:val="002D4B57"/>
    <w:rsid w:val="002D73E9"/>
    <w:rsid w:val="0032323A"/>
    <w:rsid w:val="00475984"/>
    <w:rsid w:val="00476C29"/>
    <w:rsid w:val="00485FD9"/>
    <w:rsid w:val="004E0AED"/>
    <w:rsid w:val="005359C4"/>
    <w:rsid w:val="00615D6D"/>
    <w:rsid w:val="006A7967"/>
    <w:rsid w:val="006D20D7"/>
    <w:rsid w:val="006F05BE"/>
    <w:rsid w:val="006F6DBE"/>
    <w:rsid w:val="007718AB"/>
    <w:rsid w:val="007D301C"/>
    <w:rsid w:val="0083082B"/>
    <w:rsid w:val="00882087"/>
    <w:rsid w:val="009C38CE"/>
    <w:rsid w:val="009F108A"/>
    <w:rsid w:val="00A12B9D"/>
    <w:rsid w:val="00A31DE9"/>
    <w:rsid w:val="00A32D47"/>
    <w:rsid w:val="00A72EF8"/>
    <w:rsid w:val="00AC6E6C"/>
    <w:rsid w:val="00AD424A"/>
    <w:rsid w:val="00AD7AF9"/>
    <w:rsid w:val="00AF10FB"/>
    <w:rsid w:val="00B01800"/>
    <w:rsid w:val="00B443FC"/>
    <w:rsid w:val="00B47040"/>
    <w:rsid w:val="00B477B2"/>
    <w:rsid w:val="00B70EAC"/>
    <w:rsid w:val="00B7186C"/>
    <w:rsid w:val="00BD2820"/>
    <w:rsid w:val="00C74F6C"/>
    <w:rsid w:val="00C95C2D"/>
    <w:rsid w:val="00D0079B"/>
    <w:rsid w:val="00D1548E"/>
    <w:rsid w:val="00D22C11"/>
    <w:rsid w:val="00D274B5"/>
    <w:rsid w:val="00D52B37"/>
    <w:rsid w:val="00D93AC8"/>
    <w:rsid w:val="00DE19D8"/>
    <w:rsid w:val="00E50BB2"/>
    <w:rsid w:val="00E620F6"/>
    <w:rsid w:val="00F263C1"/>
    <w:rsid w:val="00F4062B"/>
    <w:rsid w:val="00F51E83"/>
    <w:rsid w:val="00F661BB"/>
    <w:rsid w:val="00F74F0A"/>
    <w:rsid w:val="00FA4BEA"/>
    <w:rsid w:val="00FB1590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TableNormal"/>
    <w:next w:val="TableGrid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ListParagraph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ListParagraphChar">
    <w:name w:val="List Paragraph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ListParagraph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TableNormal"/>
    <w:next w:val="TableGrid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F8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MINGOR</cp:lastModifiedBy>
  <cp:revision>1</cp:revision>
  <dcterms:created xsi:type="dcterms:W3CDTF">2022-12-01T13:01:00Z</dcterms:created>
  <dcterms:modified xsi:type="dcterms:W3CDTF">2022-12-01T13:01:00Z</dcterms:modified>
</cp:coreProperties>
</file>