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4579" w14:textId="141EA71A" w:rsidR="004079A1" w:rsidRPr="00FF33A5" w:rsidRDefault="004079A1" w:rsidP="004079A1">
      <w:pPr>
        <w:jc w:val="center"/>
        <w:rPr>
          <w:b/>
        </w:rPr>
      </w:pPr>
      <w:r w:rsidRPr="00FF33A5">
        <w:rPr>
          <w:b/>
        </w:rPr>
        <w:t xml:space="preserve">Obrazac </w:t>
      </w:r>
      <w:r w:rsidR="005564E7">
        <w:rPr>
          <w:b/>
        </w:rPr>
        <w:t>7</w:t>
      </w:r>
      <w:r w:rsidR="00E81FE1" w:rsidRPr="00FF33A5">
        <w:rPr>
          <w:b/>
        </w:rPr>
        <w:t>.</w:t>
      </w:r>
    </w:p>
    <w:p w14:paraId="79591A04" w14:textId="77777777" w:rsidR="004079A1" w:rsidRDefault="004079A1" w:rsidP="00EB6910">
      <w:pPr>
        <w:rPr>
          <w:b/>
          <w:sz w:val="32"/>
          <w:szCs w:val="32"/>
        </w:rPr>
      </w:pPr>
    </w:p>
    <w:p w14:paraId="264644B6" w14:textId="37E222AD" w:rsidR="00EB6910" w:rsidRDefault="00197BF0" w:rsidP="00EB6910">
      <w:pPr>
        <w:rPr>
          <w:b/>
          <w:sz w:val="32"/>
          <w:szCs w:val="32"/>
        </w:rPr>
      </w:pPr>
      <w:r w:rsidRPr="00197BF0">
        <w:rPr>
          <w:b/>
          <w:sz w:val="32"/>
          <w:szCs w:val="32"/>
        </w:rPr>
        <w:t>C1.5.  Unaprjeđenje korištenja prirodnih resursa i jačanje lanca opskrbe hranom</w:t>
      </w:r>
    </w:p>
    <w:p w14:paraId="4292B768" w14:textId="77777777" w:rsidR="00197BF0" w:rsidRPr="00197BF0" w:rsidRDefault="00197BF0" w:rsidP="00EB6910">
      <w:pPr>
        <w:rPr>
          <w:b/>
          <w:bCs/>
          <w:sz w:val="32"/>
          <w:szCs w:val="32"/>
        </w:rPr>
      </w:pPr>
    </w:p>
    <w:p w14:paraId="52CC3C71" w14:textId="6AECC96A" w:rsidR="00197BF0" w:rsidRDefault="00197BF0" w:rsidP="00197BF0">
      <w:pPr>
        <w:rPr>
          <w:b/>
          <w:bCs/>
          <w:sz w:val="28"/>
          <w:szCs w:val="28"/>
        </w:rPr>
      </w:pPr>
      <w:r w:rsidRPr="00197BF0">
        <w:rPr>
          <w:b/>
          <w:bCs/>
          <w:sz w:val="28"/>
          <w:szCs w:val="28"/>
        </w:rPr>
        <w:t>C1.5. R2 Uspostava mreže logističke infrastrukture za jačanje proizvodno tržišnog lanca u sektoru voća i povrća</w:t>
      </w:r>
    </w:p>
    <w:p w14:paraId="18F7CDB6" w14:textId="77777777" w:rsidR="00197BF0" w:rsidRPr="00197BF0" w:rsidRDefault="00197BF0" w:rsidP="00197BF0">
      <w:pPr>
        <w:rPr>
          <w:b/>
          <w:bCs/>
          <w:sz w:val="28"/>
          <w:szCs w:val="28"/>
        </w:rPr>
      </w:pPr>
    </w:p>
    <w:p w14:paraId="39328086" w14:textId="759B8FAA" w:rsidR="00197BF0" w:rsidRPr="00197BF0" w:rsidRDefault="00197BF0" w:rsidP="00197BF0">
      <w:pPr>
        <w:jc w:val="both"/>
        <w:rPr>
          <w:i/>
          <w:noProof/>
          <w:color w:val="000000" w:themeColor="text1"/>
        </w:rPr>
      </w:pPr>
      <w:r w:rsidRPr="00197BF0">
        <w:rPr>
          <w:noProof/>
          <w:color w:val="000000" w:themeColor="text1"/>
        </w:rPr>
        <w:t>Potrebno je ispuniti posljednji stupac u kojem će se obrazložiti na koji način konkretan projektni prijedlog  zadovoljava uvijete iz pojedinog zahtjeva DNSH, odnosno na koji način je sukladan s obrazloženjem navedenim u stupcu Obrazloženja (</w:t>
      </w:r>
      <w:r w:rsidRPr="00197BF0">
        <w:rPr>
          <w:i/>
          <w:noProof/>
          <w:color w:val="000000" w:themeColor="text1"/>
        </w:rPr>
        <w:t>Obrazloženje ako je odabrano „Ne“ i</w:t>
      </w:r>
    </w:p>
    <w:p w14:paraId="61796D3E" w14:textId="77777777" w:rsidR="00197BF0" w:rsidRPr="00197BF0" w:rsidRDefault="00197BF0" w:rsidP="00197BF0">
      <w:pPr>
        <w:jc w:val="both"/>
        <w:rPr>
          <w:noProof/>
          <w:color w:val="000000" w:themeColor="text1"/>
        </w:rPr>
      </w:pPr>
      <w:r w:rsidRPr="00197BF0">
        <w:rPr>
          <w:i/>
          <w:noProof/>
          <w:color w:val="000000" w:themeColor="text1"/>
        </w:rPr>
        <w:t>Materijalno obrazloženje</w:t>
      </w:r>
      <w:r w:rsidRPr="00197BF0">
        <w:rPr>
          <w:noProof/>
          <w:color w:val="000000" w:themeColor="text1"/>
        </w:rPr>
        <w:t>) kakvo je dano u okviru NPOO-a.</w:t>
      </w:r>
    </w:p>
    <w:p w14:paraId="5F15CB59" w14:textId="77777777" w:rsidR="00197BF0" w:rsidRPr="00197BF0" w:rsidRDefault="00197BF0" w:rsidP="00197BF0">
      <w:pPr>
        <w:rPr>
          <w:b/>
          <w:bCs/>
          <w:szCs w:val="20"/>
        </w:rPr>
      </w:pPr>
    </w:p>
    <w:p w14:paraId="5A7A2AFD" w14:textId="00379EDC" w:rsidR="00EB6910" w:rsidRDefault="00197BF0" w:rsidP="00197BF0">
      <w:pPr>
        <w:rPr>
          <w:b/>
          <w:bCs/>
          <w:szCs w:val="20"/>
        </w:rPr>
      </w:pPr>
      <w:r w:rsidRPr="00197BF0">
        <w:rPr>
          <w:b/>
          <w:bCs/>
          <w:szCs w:val="20"/>
        </w:rPr>
        <w:t>Ulaganje C.1.5. R1-I1 - izgradnja i opremanje logističko-distributivnih centara za voće i povrće</w:t>
      </w:r>
    </w:p>
    <w:p w14:paraId="16962722" w14:textId="77777777" w:rsidR="00EB6910" w:rsidRPr="00C773D0" w:rsidRDefault="00EB6910" w:rsidP="00EB6910">
      <w:pPr>
        <w:rPr>
          <w:b/>
          <w:bCs/>
          <w:szCs w:val="20"/>
        </w:rPr>
      </w:pPr>
    </w:p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690"/>
        <w:gridCol w:w="698"/>
        <w:gridCol w:w="696"/>
        <w:gridCol w:w="3069"/>
        <w:gridCol w:w="3562"/>
        <w:gridCol w:w="3279"/>
      </w:tblGrid>
      <w:tr w:rsidR="005A6186" w:rsidRPr="00EB6910" w14:paraId="34DB5DC1" w14:textId="77777777" w:rsidTr="3B2F8C5C">
        <w:tc>
          <w:tcPr>
            <w:tcW w:w="978" w:type="pct"/>
            <w:shd w:val="clear" w:color="auto" w:fill="2C398B"/>
          </w:tcPr>
          <w:p w14:paraId="70C6D1A1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Navedite za koje je od sljedećih okolišnih ciljeva potrebna materijalna ocjena usklađenosti mjere s načelom nenanošenja bitne štete</w:t>
            </w:r>
          </w:p>
          <w:p w14:paraId="166513B0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</w:p>
        </w:tc>
        <w:tc>
          <w:tcPr>
            <w:tcW w:w="266" w:type="pct"/>
            <w:shd w:val="clear" w:color="auto" w:fill="2C398B"/>
          </w:tcPr>
          <w:p w14:paraId="3EB106B4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Da</w:t>
            </w:r>
          </w:p>
        </w:tc>
        <w:tc>
          <w:tcPr>
            <w:tcW w:w="265" w:type="pct"/>
            <w:shd w:val="clear" w:color="auto" w:fill="2C398B"/>
          </w:tcPr>
          <w:p w14:paraId="285AF0F9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Ne</w:t>
            </w:r>
          </w:p>
        </w:tc>
        <w:tc>
          <w:tcPr>
            <w:tcW w:w="1113" w:type="pct"/>
            <w:shd w:val="clear" w:color="auto" w:fill="2C398B"/>
          </w:tcPr>
          <w:p w14:paraId="43DB422B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Obrazloženje ako je odabrano „Ne”</w:t>
            </w:r>
          </w:p>
        </w:tc>
        <w:tc>
          <w:tcPr>
            <w:tcW w:w="1190" w:type="pct"/>
            <w:shd w:val="clear" w:color="auto" w:fill="2C398B"/>
          </w:tcPr>
          <w:p w14:paraId="4BC9662A" w14:textId="17426C1B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C773D0">
              <w:rPr>
                <w:rFonts w:eastAsia="Calibri"/>
                <w:iCs/>
                <w:noProof/>
                <w:color w:val="FFFFFF"/>
                <w:sz w:val="18"/>
                <w:szCs w:val="18"/>
              </w:rPr>
              <w:t>Verifikacija</w:t>
            </w:r>
          </w:p>
        </w:tc>
        <w:tc>
          <w:tcPr>
            <w:tcW w:w="1188" w:type="pct"/>
            <w:shd w:val="clear" w:color="auto" w:fill="2C398B"/>
          </w:tcPr>
          <w:p w14:paraId="4D8650EC" w14:textId="7C151794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5A6186" w:rsidRPr="00EB6910" w14:paraId="4DDA2F66" w14:textId="77777777" w:rsidTr="3B2F8C5C">
        <w:tc>
          <w:tcPr>
            <w:tcW w:w="978" w:type="pct"/>
            <w:shd w:val="clear" w:color="auto" w:fill="auto"/>
          </w:tcPr>
          <w:p w14:paraId="5EA87DC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  <w:color w:val="000000"/>
                <w:shd w:val="clear" w:color="auto" w:fill="FFFFFF"/>
              </w:rPr>
              <w:t>Ublažavanje klimatskih promjena</w:t>
            </w:r>
          </w:p>
        </w:tc>
        <w:tc>
          <w:tcPr>
            <w:tcW w:w="266" w:type="pct"/>
            <w:shd w:val="clear" w:color="auto" w:fill="auto"/>
          </w:tcPr>
          <w:p w14:paraId="00EEB5E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5" w:type="pct"/>
            <w:shd w:val="clear" w:color="auto" w:fill="auto"/>
          </w:tcPr>
          <w:p w14:paraId="60C6357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1113" w:type="pct"/>
            <w:shd w:val="clear" w:color="auto" w:fill="auto"/>
          </w:tcPr>
          <w:p w14:paraId="626CF430" w14:textId="7D013D15" w:rsidR="00E75B60" w:rsidRPr="002A3505" w:rsidRDefault="00E75B60" w:rsidP="00E75B60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40069">
              <w:rPr>
                <w:color w:val="000000" w:themeColor="text1"/>
                <w:sz w:val="20"/>
                <w:szCs w:val="20"/>
              </w:rPr>
              <w:t xml:space="preserve">Izgrađeni logističko-distributivni centar mora ispunjavati zahtjeve u pogledu primjene obnovljivih izvora energije korištenjem sunčeve energije tako da je najmanje 58% godišnje proizvodnje energije podmireno iz obnovljivih izvora energije korištenjem sunčeve energije. Navedeno treba doprinijeti smanjenju emisija stakleničkih plinova od minimalno 55 tona CO2 godišnje. Zahvaljujući tome izgrađeni i opremljeni LDC </w:t>
            </w:r>
            <w:r w:rsidRPr="00440069">
              <w:rPr>
                <w:color w:val="000000" w:themeColor="text1"/>
                <w:sz w:val="20"/>
                <w:szCs w:val="20"/>
              </w:rPr>
              <w:lastRenderedPageBreak/>
              <w:t>predstavlja novu zgradu čija je potražnja za primarnom energijom minimalno 20% niža od zgrade gotovo nulte energije (</w:t>
            </w:r>
            <w:proofErr w:type="spellStart"/>
            <w:r w:rsidRPr="00440069">
              <w:rPr>
                <w:color w:val="000000" w:themeColor="text1"/>
                <w:sz w:val="20"/>
                <w:szCs w:val="20"/>
              </w:rPr>
              <w:t>nZEB</w:t>
            </w:r>
            <w:proofErr w:type="spellEnd"/>
            <w:r w:rsidRPr="00440069">
              <w:rPr>
                <w:color w:val="000000" w:themeColor="text1"/>
                <w:sz w:val="20"/>
                <w:szCs w:val="20"/>
              </w:rPr>
              <w:t xml:space="preserve"> standard). </w:t>
            </w:r>
            <w:r>
              <w:rPr>
                <w:color w:val="000000" w:themeColor="text1"/>
                <w:sz w:val="20"/>
                <w:szCs w:val="20"/>
                <w:highlight w:val="yellow"/>
              </w:rPr>
              <w:t xml:space="preserve">LDC ujedno mora korištenjem sunčeve energije iz sunčane elektrane biti samodostatan od najmanje 58% u podmirenju ukupnih godišnjih potreba </w:t>
            </w:r>
            <w:r w:rsidRPr="002A3505">
              <w:rPr>
                <w:color w:val="000000" w:themeColor="text1"/>
                <w:sz w:val="20"/>
                <w:szCs w:val="20"/>
                <w:highlight w:val="yellow"/>
              </w:rPr>
              <w:t>energije vezanih uz rad izgrađene i opremljene infrastrukture sa svima termotehničkim i tehničkim sustavima, tehnološkom, procesnom i ostalom opremom objekta.</w:t>
            </w:r>
          </w:p>
          <w:p w14:paraId="24796F89" w14:textId="1EA2B0FF" w:rsidR="005A6186" w:rsidRPr="008163FA" w:rsidRDefault="005A6186" w:rsidP="005A6186">
            <w:pPr>
              <w:jc w:val="both"/>
              <w:rPr>
                <w:rFonts w:eastAsia="Calibri"/>
                <w:highlight w:val="yellow"/>
              </w:rPr>
            </w:pPr>
          </w:p>
        </w:tc>
        <w:tc>
          <w:tcPr>
            <w:tcW w:w="1190" w:type="pct"/>
          </w:tcPr>
          <w:p w14:paraId="6A39F9EF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Građevinska dozvola-dokaz poštivanja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za zgrade gotovo nulte energije </w:t>
            </w:r>
          </w:p>
          <w:p w14:paraId="4D363385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Kontrola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obavlja se u trenutku predaje zahtjeva za izdavanje građevinske dozvole, kada zgrada još u fazi projekta i nije započeta gradnja</w:t>
            </w:r>
          </w:p>
          <w:p w14:paraId="33634C29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6D8861" w14:textId="77777777" w:rsidR="005A6186" w:rsidRPr="00306201" w:rsidRDefault="001B6733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hyperlink r:id="rId10" w:history="1">
              <w:r w:rsidR="005A6186" w:rsidRPr="00306201">
                <w:rPr>
                  <w:rFonts w:eastAsia="Calibri"/>
                  <w:color w:val="000000"/>
                </w:rPr>
                <w:t>https://mpgi.gov.hr/o-ministarstvu/djelokrug/energetska-</w:t>
              </w:r>
              <w:r w:rsidR="005A6186" w:rsidRPr="00306201">
                <w:rPr>
                  <w:rFonts w:eastAsia="Calibri"/>
                  <w:color w:val="000000"/>
                </w:rPr>
                <w:lastRenderedPageBreak/>
                <w:t>ucinkovitost-u-zgradarstvu/zgrade-gotovo-nulte-energije-nzeb/pojasnjenje-primjene-odredbi-vezanih-uz-standard-gradnje-zgrada-gotovo-nulte-energije-nzeb/10580</w:t>
              </w:r>
            </w:hyperlink>
          </w:p>
          <w:p w14:paraId="1C15AFA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7007F46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Investicijska studija</w:t>
            </w:r>
          </w:p>
          <w:p w14:paraId="391F5F9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A328C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dokumentacija </w:t>
            </w:r>
          </w:p>
          <w:p w14:paraId="25603CFA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780FFEC3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Troškovnik</w:t>
            </w:r>
          </w:p>
          <w:p w14:paraId="18AD64AC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630E2D3E" w14:textId="4EFBC84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koja dokazuje usklađenost tehnologija s NRT (Najboljim Raspoloživim Tehnikama</w:t>
            </w:r>
            <w:r w:rsidRPr="00C773D0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pct"/>
            <w:shd w:val="clear" w:color="auto" w:fill="auto"/>
          </w:tcPr>
          <w:p w14:paraId="566F4317" w14:textId="0CCFB45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DFFF9F5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B7731EF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84D72F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717369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0628BCC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4C7E78FA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CBB0FD6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7D9EBD89" w14:textId="2AF3F998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 xml:space="preserve">Obrazloženje -ispunjava prijavitelj- opisati na koji način </w:t>
            </w:r>
            <w:r w:rsidRPr="00EB6910">
              <w:rPr>
                <w:rFonts w:eastAsia="Calibri"/>
                <w:i/>
                <w:color w:val="000000"/>
              </w:rPr>
              <w:lastRenderedPageBreak/>
              <w:t>konkretan projektni prijedlog zadovoljava navedena načela</w:t>
            </w:r>
          </w:p>
        </w:tc>
      </w:tr>
      <w:tr w:rsidR="005A6186" w:rsidRPr="00EB6910" w14:paraId="6361E321" w14:textId="77777777" w:rsidTr="3B2F8C5C">
        <w:tc>
          <w:tcPr>
            <w:tcW w:w="978" w:type="pct"/>
            <w:shd w:val="clear" w:color="auto" w:fill="auto"/>
          </w:tcPr>
          <w:p w14:paraId="465934FF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lastRenderedPageBreak/>
              <w:t>Prilagodba klimatskim promjenama</w:t>
            </w:r>
          </w:p>
        </w:tc>
        <w:tc>
          <w:tcPr>
            <w:tcW w:w="266" w:type="pct"/>
            <w:shd w:val="clear" w:color="auto" w:fill="auto"/>
          </w:tcPr>
          <w:p w14:paraId="6752E56A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237F7FC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8316EA3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914388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B6E593A" w14:textId="0CB2B94A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2D87CA5" w14:textId="77777777" w:rsidTr="3B2F8C5C">
        <w:tc>
          <w:tcPr>
            <w:tcW w:w="978" w:type="pct"/>
            <w:shd w:val="clear" w:color="auto" w:fill="auto"/>
          </w:tcPr>
          <w:p w14:paraId="3D5359C1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Održiva uporaba i zaštita vodnih i morskih resursa</w:t>
            </w:r>
          </w:p>
        </w:tc>
        <w:tc>
          <w:tcPr>
            <w:tcW w:w="266" w:type="pct"/>
            <w:shd w:val="clear" w:color="auto" w:fill="auto"/>
          </w:tcPr>
          <w:p w14:paraId="41A7291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4E11BD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AF707C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25750B1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298B0" w14:textId="3E82DD65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468BAB13" w14:textId="77777777" w:rsidTr="3B2F8C5C">
        <w:tc>
          <w:tcPr>
            <w:tcW w:w="978" w:type="pct"/>
            <w:shd w:val="clear" w:color="auto" w:fill="auto"/>
          </w:tcPr>
          <w:p w14:paraId="16327E37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Kružno gospodarstvo, uključujući sprečavanje nastanka otpada i recikliranje</w:t>
            </w:r>
          </w:p>
        </w:tc>
        <w:tc>
          <w:tcPr>
            <w:tcW w:w="266" w:type="pct"/>
            <w:shd w:val="clear" w:color="auto" w:fill="auto"/>
          </w:tcPr>
          <w:p w14:paraId="2A20C745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68959E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1E4A3FA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AB03B9D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217953AC" w14:textId="5AB80BEB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1FCF520" w14:textId="77777777" w:rsidTr="3B2F8C5C">
        <w:tc>
          <w:tcPr>
            <w:tcW w:w="978" w:type="pct"/>
            <w:shd w:val="clear" w:color="auto" w:fill="auto"/>
          </w:tcPr>
          <w:p w14:paraId="772EDD94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Sprečavanje i kontrola onečišćenja zraka, vode ili zemlje</w:t>
            </w:r>
          </w:p>
        </w:tc>
        <w:tc>
          <w:tcPr>
            <w:tcW w:w="266" w:type="pct"/>
            <w:shd w:val="clear" w:color="auto" w:fill="auto"/>
          </w:tcPr>
          <w:p w14:paraId="5BF7634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3CA7DBC7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EA7445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BEDA8F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5E91E" w14:textId="105762CC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20900E04" w14:textId="77777777" w:rsidTr="3B2F8C5C">
        <w:trPr>
          <w:trHeight w:val="285"/>
        </w:trPr>
        <w:tc>
          <w:tcPr>
            <w:tcW w:w="978" w:type="pct"/>
            <w:shd w:val="clear" w:color="auto" w:fill="auto"/>
          </w:tcPr>
          <w:p w14:paraId="30547C35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Zaštita i obnova bioraznolikosti i ekosustavâ</w:t>
            </w:r>
          </w:p>
        </w:tc>
        <w:tc>
          <w:tcPr>
            <w:tcW w:w="266" w:type="pct"/>
            <w:shd w:val="clear" w:color="auto" w:fill="auto"/>
          </w:tcPr>
          <w:p w14:paraId="342DBDD8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9D8D0F9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DD5C190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3EC4BD4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3C6F9ABD" w14:textId="1E91864E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</w:tbl>
    <w:p w14:paraId="5176829F" w14:textId="77777777" w:rsidR="00EB6910" w:rsidRPr="00C773D0" w:rsidRDefault="00EB6910" w:rsidP="00EB6910"/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3"/>
        <w:gridCol w:w="484"/>
        <w:gridCol w:w="3398"/>
        <w:gridCol w:w="4996"/>
        <w:gridCol w:w="2863"/>
      </w:tblGrid>
      <w:tr w:rsidR="00306201" w:rsidRPr="00EB6910" w14:paraId="1DC20150" w14:textId="77777777" w:rsidTr="00306201">
        <w:tc>
          <w:tcPr>
            <w:tcW w:w="805" w:type="pct"/>
            <w:shd w:val="clear" w:color="auto" w:fill="2C398B"/>
          </w:tcPr>
          <w:p w14:paraId="11394F49" w14:textId="4152AAD2" w:rsidR="00306201" w:rsidRPr="00EB6910" w:rsidRDefault="00EB6910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C773D0">
              <w:lastRenderedPageBreak/>
              <w:br w:type="page"/>
            </w:r>
            <w:r w:rsidR="00306201" w:rsidRPr="00EB6910">
              <w:rPr>
                <w:rFonts w:eastAsia="Calibri"/>
                <w:i/>
                <w:noProof/>
                <w:color w:val="FFFFFF"/>
              </w:rPr>
              <w:t>Pitanja</w:t>
            </w:r>
            <w:r w:rsidR="00306201" w:rsidRPr="00EB6910">
              <w:rPr>
                <w:rFonts w:eastAsia="Calibri"/>
                <w:i/>
                <w:iCs/>
                <w:color w:val="FFFFFF"/>
              </w:rPr>
              <w:t xml:space="preserve"> </w:t>
            </w:r>
          </w:p>
        </w:tc>
        <w:tc>
          <w:tcPr>
            <w:tcW w:w="173" w:type="pct"/>
            <w:shd w:val="clear" w:color="auto" w:fill="2C398B"/>
          </w:tcPr>
          <w:p w14:paraId="5EA3550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Ne</w:t>
            </w:r>
          </w:p>
        </w:tc>
        <w:tc>
          <w:tcPr>
            <w:tcW w:w="1214" w:type="pct"/>
            <w:shd w:val="clear" w:color="auto" w:fill="2C398B"/>
          </w:tcPr>
          <w:p w14:paraId="3B0289A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306201">
              <w:rPr>
                <w:rFonts w:eastAsia="Calibri"/>
                <w:i/>
                <w:iCs/>
                <w:noProof/>
                <w:color w:val="FFFFFF"/>
              </w:rPr>
              <w:t>Verifikacija</w:t>
            </w:r>
          </w:p>
        </w:tc>
        <w:tc>
          <w:tcPr>
            <w:tcW w:w="1023" w:type="pct"/>
            <w:shd w:val="clear" w:color="auto" w:fill="2C398B"/>
          </w:tcPr>
          <w:p w14:paraId="6B685CEE" w14:textId="646D4CB1" w:rsidR="00306201" w:rsidRPr="00EB6910" w:rsidRDefault="00306201" w:rsidP="00A04B26">
            <w:pPr>
              <w:jc w:val="center"/>
              <w:rPr>
                <w:rFonts w:eastAsia="Calibri"/>
                <w:i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306201" w:rsidRPr="00EB6910" w14:paraId="3B1D362D" w14:textId="77777777" w:rsidTr="00306201">
        <w:tc>
          <w:tcPr>
            <w:tcW w:w="805" w:type="pct"/>
            <w:shd w:val="clear" w:color="auto" w:fill="auto"/>
          </w:tcPr>
          <w:p w14:paraId="36B90E70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3" w:type="pct"/>
            <w:shd w:val="clear" w:color="auto" w:fill="auto"/>
          </w:tcPr>
          <w:p w14:paraId="746BB740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636206E9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Klimatski rizici koji bi mogli biti relevantni za ovu mjeru identificirani su u Nacionalnoj strategiji prilagodbe klimatskim promjenama u Republici Hrvatskoj za razdoblje do 2040. s pogledom na 2070. godinu i procjenjivat će se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Djelatnost ispunjava kriterije iz Dodatka A dopuni Uredbe (EU) 2020/852. </w:t>
            </w:r>
          </w:p>
          <w:p w14:paraId="5BAA96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A5D682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693F4A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Tehnička dokumentacija investicijskog prijedloga / Glavni projekt</w:t>
            </w:r>
          </w:p>
          <w:p w14:paraId="27F29EE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4059D97" w14:textId="21C5EF90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</w:p>
        </w:tc>
        <w:tc>
          <w:tcPr>
            <w:tcW w:w="1023" w:type="pct"/>
            <w:shd w:val="clear" w:color="auto" w:fill="auto"/>
          </w:tcPr>
          <w:p w14:paraId="1166DF55" w14:textId="618B9CA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  <w:p w14:paraId="51B8D702" w14:textId="43C4E468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</w:tc>
      </w:tr>
      <w:tr w:rsidR="00306201" w:rsidRPr="00EB6910" w14:paraId="04F3FA56" w14:textId="77777777" w:rsidTr="00306201">
        <w:tc>
          <w:tcPr>
            <w:tcW w:w="805" w:type="pct"/>
            <w:shd w:val="clear" w:color="auto" w:fill="auto"/>
          </w:tcPr>
          <w:p w14:paraId="6AB43D01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Održiva uporaba i zaštita vodnih i morskih resursa: </w:t>
            </w:r>
            <w:r w:rsidRPr="00EB6910">
              <w:rPr>
                <w:rFonts w:eastAsia="Calibri"/>
              </w:rPr>
              <w:lastRenderedPageBreak/>
              <w:t>očekuje li se da će mjera biti štetna:</w:t>
            </w:r>
          </w:p>
          <w:p w14:paraId="1F953558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3" w:type="pct"/>
            <w:shd w:val="clear" w:color="auto" w:fill="auto"/>
          </w:tcPr>
          <w:p w14:paraId="4BB84CFD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X</w:t>
            </w:r>
          </w:p>
        </w:tc>
        <w:tc>
          <w:tcPr>
            <w:tcW w:w="1214" w:type="pct"/>
            <w:shd w:val="clear" w:color="auto" w:fill="auto"/>
          </w:tcPr>
          <w:p w14:paraId="786E6A76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 xml:space="preserve">Svi relevantni uređaji za vodu koji će se instalirati (tuševi, miješalice za tuševe, izlazi za </w:t>
            </w:r>
            <w:r w:rsidRPr="00EB6910">
              <w:rPr>
                <w:rFonts w:eastAsia="Calibri"/>
                <w:color w:val="000000"/>
              </w:rPr>
              <w:lastRenderedPageBreak/>
              <w:t>tuširanje, slavine, sustavi za WC školjke, WC školjke i vodokotlići, pisoari i vodokotlići, kade) moraju biti u prva 2 razreda potrošnje vode u skladu s EU oznakom za vode.</w:t>
            </w:r>
          </w:p>
        </w:tc>
        <w:tc>
          <w:tcPr>
            <w:tcW w:w="1785" w:type="pct"/>
          </w:tcPr>
          <w:p w14:paraId="24A9DE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>Certifikat održivog upravljanja vodama (http://www.europeanwaterlabel.eu/ ili ekvivalent) i/ili</w:t>
            </w:r>
          </w:p>
          <w:p w14:paraId="23CA7F6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A85E87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Certifikati ekološkog označavanja, odnosno sustava upravljanja okolišem prema međunarodno priznatim normama (EU </w:t>
            </w:r>
            <w:proofErr w:type="spellStart"/>
            <w:r w:rsidRPr="00306201">
              <w:rPr>
                <w:rFonts w:eastAsia="Calibri"/>
                <w:color w:val="000000"/>
              </w:rPr>
              <w:t>Ecolabel</w:t>
            </w:r>
            <w:proofErr w:type="spellEnd"/>
            <w:r w:rsidRPr="00306201">
              <w:rPr>
                <w:rFonts w:eastAsia="Calibri"/>
                <w:color w:val="000000"/>
              </w:rPr>
              <w:t>, EMAS ili ekvivalenti) kojim se dokazuje smanjena potrošnja vode</w:t>
            </w:r>
          </w:p>
          <w:p w14:paraId="6E33B52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0B8B10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uz predočenje Troškovnika</w:t>
            </w:r>
          </w:p>
          <w:p w14:paraId="3BBF2C42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CE422F6" w14:textId="3011C176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5686D37B" w14:textId="572BF85E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lastRenderedPageBreak/>
              <w:t xml:space="preserve">Obrazloženje -ispunjava prijavitelj- pozvati se na dokumente i provedene </w:t>
            </w:r>
            <w:r w:rsidRPr="00EB6910">
              <w:rPr>
                <w:rFonts w:eastAsia="Calibri"/>
                <w:i/>
                <w:color w:val="000000"/>
              </w:rPr>
              <w:lastRenderedPageBreak/>
              <w:t>procedure kojima se potvrđuje sukladnost projektnog prijedloga s navedenim načelima</w:t>
            </w:r>
          </w:p>
          <w:p w14:paraId="6CF8196A" w14:textId="421903EF" w:rsidR="00306201" w:rsidRPr="00EB6910" w:rsidRDefault="00306201" w:rsidP="00A04B26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123724DC" w14:textId="77777777" w:rsidTr="00306201">
        <w:tc>
          <w:tcPr>
            <w:tcW w:w="805" w:type="pct"/>
            <w:shd w:val="clear" w:color="auto" w:fill="auto"/>
          </w:tcPr>
          <w:p w14:paraId="1ED76E6A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Prelazak na kružno gospodarstvo, uključujući sprečavanje nastanka otpada i recikliranje: očekuje li se da će mjera:</w:t>
            </w:r>
          </w:p>
          <w:p w14:paraId="49B3A2B0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dovesti do znatnog povećanja stvaranja, spaljivanja ili odlaganja otpada, osim spaljivanja opasnog otpada koji se ne može reciklirati; ili</w:t>
            </w:r>
          </w:p>
          <w:p w14:paraId="0B750D09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 xml:space="preserve">dovesti do znatnih </w:t>
            </w:r>
            <w:r w:rsidRPr="00EB6910">
              <w:rPr>
                <w:rFonts w:eastAsia="Calibri"/>
              </w:rPr>
              <w:lastRenderedPageBreak/>
              <w:t>neučinkovitosti u izravnoj ili neizravnoj uporabi bilo kojeg prirodnog resursa  u bilo kojoj fazi njegova životnog ciklusa koje nisu svedene na najmanju moguću mjeru odgovarajućim mjerama ; ili</w:t>
            </w:r>
          </w:p>
          <w:p w14:paraId="2481D69B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(iii)</w:t>
            </w:r>
            <w:r w:rsidRPr="00EB6910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3" w:type="pct"/>
            <w:shd w:val="clear" w:color="auto" w:fill="auto"/>
          </w:tcPr>
          <w:p w14:paraId="2412C4F6" w14:textId="77777777" w:rsidR="00306201" w:rsidRPr="00EB6910" w:rsidRDefault="00306201" w:rsidP="00306201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X</w:t>
            </w:r>
          </w:p>
        </w:tc>
        <w:tc>
          <w:tcPr>
            <w:tcW w:w="1214" w:type="pct"/>
            <w:shd w:val="clear" w:color="auto" w:fill="auto"/>
          </w:tcPr>
          <w:p w14:paraId="7F1AE43C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Mjera zahtijeva od gospodarskih subjekata koji izvode gradnju da osiguraju da najmanje 70% (težinski) neopasnog građevinskog otpada i otpada od rušenja (isključujući prirodni materijal naveden u kategoriji 17 05 04 na Europskoj listi otpada utvrđenoj Odlukom 2000/532 / EZ) nastalog na gradilištu bude pripremljena za ponovnu uporabu, recikliranje i oporabu drugog materijala, uključujući postupke zatrpavanja otpadom koji zamjenjuje druge materijale, u skladu s hijerarhijom otpada i </w:t>
            </w:r>
            <w:r w:rsidRPr="00EB6910">
              <w:rPr>
                <w:rFonts w:eastAsia="Calibri"/>
              </w:rPr>
              <w:lastRenderedPageBreak/>
              <w:t>EU protokolom za gospodarenje otpadom od gradnje i rušenja.</w:t>
            </w:r>
          </w:p>
          <w:p w14:paraId="45B2CDF4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</w:p>
          <w:p w14:paraId="7793E2BA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Smanjenje otpada može se također očekivati zbog učinkovitosti resursa koja rezultira manjim otpadom hrane.</w:t>
            </w:r>
          </w:p>
          <w:p w14:paraId="7F6DF8A5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85" w:type="pct"/>
          </w:tcPr>
          <w:p w14:paraId="2991CE44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lastRenderedPageBreak/>
              <w:t>Prateći list za otpad (PL-O) - dokaz da je otpad predan ovlaštenoj osobi      (evidencija o vrsti, količini i načinu obrade - novi PL-O, u primjeni od 1.11.2021.) i</w:t>
            </w:r>
          </w:p>
          <w:p w14:paraId="59A2E230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 xml:space="preserve">Tehnička specifikacija proizvoda/sustava/opreme koji će se implementirati radi sprječavanje nastanka, ponovne uporabe  ili recikliranja </w:t>
            </w:r>
            <w:r w:rsidRPr="00306201">
              <w:rPr>
                <w:rFonts w:eastAsia="Calibri"/>
              </w:rPr>
              <w:lastRenderedPageBreak/>
              <w:t>otpada, iz koje je vidljivo održivo gospodarenje otpadom u skladu s hijerarhijom otpada (izraženo u kg), uz predočenje Troškovnika</w:t>
            </w:r>
          </w:p>
          <w:p w14:paraId="432B6938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Okolišna dozvola (NRT)</w:t>
            </w:r>
          </w:p>
          <w:p w14:paraId="383E0365" w14:textId="77777777" w:rsidR="00306201" w:rsidRPr="00C773D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</w:tcPr>
          <w:p w14:paraId="0D6C05EE" w14:textId="11B6D48A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76D987AE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06201" w:rsidRPr="00EB6910" w14:paraId="2958B51E" w14:textId="77777777" w:rsidTr="00306201">
        <w:tc>
          <w:tcPr>
            <w:tcW w:w="805" w:type="pct"/>
            <w:shd w:val="clear" w:color="auto" w:fill="auto"/>
          </w:tcPr>
          <w:p w14:paraId="688DCF2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3" w:type="pct"/>
            <w:shd w:val="clear" w:color="auto" w:fill="auto"/>
          </w:tcPr>
          <w:p w14:paraId="23502292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544AFF00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Očekuje se da mjera neće dovesti do značajnog povećanja emisija onečišćujućih tvari u zrak, vodu ili zemlju jer:</w:t>
            </w:r>
          </w:p>
          <w:p w14:paraId="5C25732C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- osigurano je da građevinski dijelovi i materijali ne sadrže azbest niti tvari koje izazivaju veliku zabrinutost, kako je utvrđeno na temelju „Popisa odobrenja“ Uredbe REACH.</w:t>
            </w:r>
          </w:p>
          <w:p w14:paraId="23C0467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 xml:space="preserve">- ako se nova konstrukcija nalazi na potencijalno kontaminiranom mjestu, mora se podvrgnuti kontroli na potencijalne onečišćivače, na primjer </w:t>
            </w:r>
            <w:r w:rsidRPr="00EB6910">
              <w:rPr>
                <w:rFonts w:eastAsia="Calibri"/>
                <w:color w:val="000000"/>
              </w:rPr>
              <w:lastRenderedPageBreak/>
              <w:t>primjenom standarda BS 10175.588.</w:t>
            </w:r>
          </w:p>
        </w:tc>
        <w:tc>
          <w:tcPr>
            <w:tcW w:w="1785" w:type="pct"/>
          </w:tcPr>
          <w:p w14:paraId="7D19F66D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CCC49A0" w14:textId="3D9CAF5B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042C32B0" w14:textId="18A7148E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306201" w:rsidRPr="00EB6910" w:rsidRDefault="00306201" w:rsidP="00306201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77B06455" w14:textId="77777777" w:rsidTr="00306201">
        <w:tc>
          <w:tcPr>
            <w:tcW w:w="805" w:type="pct"/>
            <w:shd w:val="clear" w:color="auto" w:fill="auto"/>
          </w:tcPr>
          <w:p w14:paraId="4B29155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Zaštita i obnova bioraznolikosti i ekosustavâ: očekuje li se da će mjera biti:</w:t>
            </w:r>
          </w:p>
          <w:p w14:paraId="0223A0F7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3" w:type="pct"/>
            <w:shd w:val="clear" w:color="auto" w:fill="auto"/>
          </w:tcPr>
          <w:p w14:paraId="3A46E855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4D4BD13B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ili u blizini, niti će imati utjecaj na zaštićena prirodna područja, poput zemljišta koje je određeno kao Natura 2000 područje, UNESCO-</w:t>
            </w:r>
            <w:proofErr w:type="spellStart"/>
            <w:r w:rsidRPr="00EB6910">
              <w:rPr>
                <w:rFonts w:eastAsia="Calibri"/>
              </w:rPr>
              <w:t>va</w:t>
            </w:r>
            <w:proofErr w:type="spellEnd"/>
            <w:r w:rsidRPr="00EB6910">
              <w:rPr>
                <w:rFonts w:eastAsia="Calibri"/>
              </w:rPr>
              <w:t xml:space="preserve"> svjetska baština ili ključno područje biološke raznolikosti.</w:t>
            </w:r>
          </w:p>
          <w:p w14:paraId="70A6A1CB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4399CF0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obradivim ili zelenim površinama prepoznate visoke vrijednosti biološke raznolikosti i zemljištu koje služi kao stanište ugroženih vrsta (flora i fauna) uvrštenih u Europski crveni popis.</w:t>
            </w:r>
          </w:p>
          <w:p w14:paraId="7EA7F0C4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0BCC9C5F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Najmanje 80% svih drvnih proizvoda korištenih u novoj gradnji za konstrukcije, obloge i završne obloge bit će reciklirano / ponovno upotrijebljeno ili dobiveno iz šuma kojima se održivo upravlja, što se potvrđuje nezavisnim revizijskim provjerama koje su provela akreditirana tijela za certifikaciju, npr. FSC / PEFC </w:t>
            </w:r>
            <w:r w:rsidRPr="00EB6910">
              <w:rPr>
                <w:rFonts w:eastAsia="Calibri"/>
              </w:rPr>
              <w:lastRenderedPageBreak/>
              <w:t>standardi ili ekvivalentni standardi.</w:t>
            </w:r>
          </w:p>
        </w:tc>
        <w:tc>
          <w:tcPr>
            <w:tcW w:w="1785" w:type="pct"/>
          </w:tcPr>
          <w:p w14:paraId="3F0005E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Rješenje o prihvatljivosti zahvata na okoliš (PUO) </w:t>
            </w:r>
          </w:p>
          <w:p w14:paraId="7EF06D6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68A2D30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4985902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23F6EF6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Rješenje  kojim se dokazuje da za zahvat nije potrebno povesti PUO</w:t>
            </w:r>
          </w:p>
          <w:p w14:paraId="534AD26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7875A12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53B49E8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331710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Mišljenje da za zahvat nije potrebno provesti ocjenu o potrebi PUO</w:t>
            </w:r>
          </w:p>
          <w:p w14:paraId="2ACA4CA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109D9CA" w14:textId="2DEA4E3F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</w:t>
            </w:r>
          </w:p>
        </w:tc>
        <w:tc>
          <w:tcPr>
            <w:tcW w:w="1023" w:type="pct"/>
            <w:shd w:val="clear" w:color="auto" w:fill="auto"/>
          </w:tcPr>
          <w:p w14:paraId="2EA13865" w14:textId="42A72381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A2B3C2D" w14:textId="502F39D1" w:rsidR="00306201" w:rsidRPr="00EB6910" w:rsidRDefault="00306201" w:rsidP="00306201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E666D8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Default="00EB6910" w:rsidP="00EB6910"/>
    <w:p w14:paraId="61B6A15C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U &lt; </w:t>
      </w:r>
      <w:r w:rsidRPr="0014602E">
        <w:rPr>
          <w:i/>
        </w:rPr>
        <w:t xml:space="preserve">umetnuti  mjesto  </w:t>
      </w:r>
      <w:r w:rsidRPr="0014602E">
        <w:t xml:space="preserve">&gt;, dana  &lt; </w:t>
      </w:r>
      <w:r w:rsidRPr="0014602E">
        <w:rPr>
          <w:i/>
        </w:rPr>
        <w:t>umetnuti</w:t>
      </w:r>
      <w:r w:rsidRPr="0014602E">
        <w:t xml:space="preserve">  </w:t>
      </w:r>
      <w:r w:rsidRPr="0014602E">
        <w:rPr>
          <w:i/>
        </w:rPr>
        <w:t xml:space="preserve">datum </w:t>
      </w:r>
      <w:r w:rsidRPr="0014602E">
        <w:t xml:space="preserve">&gt; </w:t>
      </w:r>
      <w:r>
        <w:t xml:space="preserve">22  </w:t>
      </w:r>
      <w:r w:rsidRPr="0014602E">
        <w:t>&lt; umetnuti  godinu).</w:t>
      </w:r>
    </w:p>
    <w:p w14:paraId="36592223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>&lt;</w:t>
      </w:r>
      <w:r w:rsidRPr="0014602E">
        <w:rPr>
          <w:i/>
        </w:rPr>
        <w:t>odabrati:</w:t>
      </w:r>
      <w:r w:rsidRPr="0014602E">
        <w:t xml:space="preserve"> Prijavitelj / Partner &gt; &lt; </w:t>
      </w:r>
      <w:r w:rsidRPr="0014602E">
        <w:rPr>
          <w:i/>
        </w:rPr>
        <w:t xml:space="preserve">ili umetnuti, ako je primjenjivo - osoba po zakonu ovlaštena za zastupanje Prijavitelja / Partnera  </w:t>
      </w:r>
      <w:r w:rsidRPr="0014602E">
        <w:t>&gt;</w:t>
      </w:r>
    </w:p>
    <w:p w14:paraId="147F58C8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Funkcija &lt; </w:t>
      </w:r>
      <w:r w:rsidRPr="0014602E">
        <w:rPr>
          <w:i/>
        </w:rPr>
        <w:t xml:space="preserve">umetnuti  </w:t>
      </w:r>
      <w:r w:rsidRPr="0014602E">
        <w:t xml:space="preserve">&gt;  </w:t>
      </w:r>
    </w:p>
    <w:p w14:paraId="747DAFBE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Potpis &lt; </w:t>
      </w:r>
      <w:r w:rsidRPr="0014602E">
        <w:rPr>
          <w:i/>
        </w:rPr>
        <w:t xml:space="preserve">umetnuti  </w:t>
      </w:r>
      <w:r w:rsidRPr="0014602E">
        <w:t>&gt;  i pečat  &lt; umetnuti  &gt;</w:t>
      </w:r>
    </w:p>
    <w:p w14:paraId="38782D08" w14:textId="1492E061" w:rsidR="0014005C" w:rsidRDefault="0014005C" w:rsidP="00EB6910"/>
    <w:sectPr w:rsidR="0014005C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0B72" w14:textId="77777777" w:rsidR="0017071F" w:rsidRDefault="0017071F" w:rsidP="004079A1">
      <w:r>
        <w:separator/>
      </w:r>
    </w:p>
  </w:endnote>
  <w:endnote w:type="continuationSeparator" w:id="0">
    <w:p w14:paraId="7760E41E" w14:textId="77777777" w:rsidR="0017071F" w:rsidRDefault="0017071F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D152" w14:textId="77777777" w:rsidR="0017071F" w:rsidRDefault="0017071F" w:rsidP="004079A1">
      <w:r>
        <w:separator/>
      </w:r>
    </w:p>
  </w:footnote>
  <w:footnote w:type="continuationSeparator" w:id="0">
    <w:p w14:paraId="63570AC0" w14:textId="77777777" w:rsidR="0017071F" w:rsidRDefault="0017071F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58"/>
    <w:rsid w:val="0014005C"/>
    <w:rsid w:val="0017071F"/>
    <w:rsid w:val="00197BF0"/>
    <w:rsid w:val="001C7709"/>
    <w:rsid w:val="00306201"/>
    <w:rsid w:val="004079A1"/>
    <w:rsid w:val="0041227C"/>
    <w:rsid w:val="005564E7"/>
    <w:rsid w:val="00584463"/>
    <w:rsid w:val="005A6186"/>
    <w:rsid w:val="00632658"/>
    <w:rsid w:val="006D75F1"/>
    <w:rsid w:val="008163FA"/>
    <w:rsid w:val="00C05DA8"/>
    <w:rsid w:val="00D21381"/>
    <w:rsid w:val="00E260AD"/>
    <w:rsid w:val="00E75B60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pgi.gov.hr/o-ministarstvu/djelokrug/energetska-ucinkovitost-u-zgradarstvu/zgrade-gotovo-nulte-energije-nzeb/pojasnjenje-primjene-odredbi-vezanih-uz-standard-gradnje-zgrada-gotovo-nulte-energije-nzeb/105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C8F94-766F-423F-A7FB-E7AC2FA04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Miljenko Rakić</cp:lastModifiedBy>
  <cp:revision>2</cp:revision>
  <dcterms:created xsi:type="dcterms:W3CDTF">2023-12-06T12:13:00Z</dcterms:created>
  <dcterms:modified xsi:type="dcterms:W3CDTF">2023-12-06T12:13:00Z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