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C9F2" w14:textId="23C4701B" w:rsidR="0095156A" w:rsidRPr="006F3544" w:rsidRDefault="003C6C7D" w:rsidP="0095156A">
      <w:pPr>
        <w:tabs>
          <w:tab w:val="left" w:pos="6047"/>
        </w:tabs>
        <w:spacing w:after="0"/>
        <w:ind w:left="-567" w:right="-567"/>
        <w:outlineLvl w:val="1"/>
        <w:rPr>
          <w:rFonts w:ascii="Times New Roman" w:eastAsia="Times New Roman" w:hAnsi="Times New Roman" w:cs="Times New Roman"/>
          <w:b/>
          <w:lang w:eastAsia="hr-HR"/>
        </w:rPr>
      </w:pP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420D80BE" wp14:editId="0C28D8F3">
                <wp:simplePos x="0" y="0"/>
                <wp:positionH relativeFrom="margin">
                  <wp:posOffset>3581400</wp:posOffset>
                </wp:positionH>
                <wp:positionV relativeFrom="paragraph">
                  <wp:posOffset>247650</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3AFF915C" w14:textId="77777777" w:rsidR="003C6C7D" w:rsidRPr="00FC7D26" w:rsidRDefault="003C6C7D" w:rsidP="003C6C7D">
                            <w:pPr>
                              <w:pStyle w:val="StandardWeb"/>
                              <w:spacing w:before="0" w:after="0"/>
                              <w:rPr>
                                <w:b/>
                                <w:color w:val="EE0000"/>
                                <w:kern w:val="24"/>
                                <w:sz w:val="16"/>
                                <w:szCs w:val="16"/>
                              </w:rPr>
                            </w:pPr>
                            <w:r w:rsidRPr="00FC7D26">
                              <w:rPr>
                                <w:b/>
                                <w:color w:val="EE0000"/>
                                <w:kern w:val="24"/>
                                <w:sz w:val="16"/>
                                <w:szCs w:val="16"/>
                              </w:rPr>
                              <w:t>REPUBLIKA HRVATSKA</w:t>
                            </w:r>
                          </w:p>
                          <w:p w14:paraId="797854AE" w14:textId="77777777" w:rsidR="003C6C7D" w:rsidRPr="0026348B" w:rsidRDefault="003C6C7D" w:rsidP="003C6C7D">
                            <w:pPr>
                              <w:pStyle w:val="StandardWeb"/>
                              <w:spacing w:before="0" w:after="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20D80BE" id="Pravokutnik 16" o:spid="_x0000_s1026" style="position:absolute;left:0;text-align:left;margin-left:282pt;margin-top:19.5pt;width:194.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" filled="f" stroked="f">
                <v:textbox>
                  <w:txbxContent>
                    <w:p w14:paraId="3AFF915C" w14:textId="77777777" w:rsidR="003C6C7D" w:rsidRPr="00FC7D26" w:rsidRDefault="003C6C7D" w:rsidP="003C6C7D">
                      <w:pPr>
                        <w:pStyle w:val="StandardWeb"/>
                        <w:spacing w:before="0" w:after="0"/>
                        <w:rPr>
                          <w:b/>
                          <w:color w:val="EE0000"/>
                          <w:kern w:val="24"/>
                          <w:sz w:val="16"/>
                          <w:szCs w:val="16"/>
                        </w:rPr>
                      </w:pPr>
                      <w:r w:rsidRPr="00FC7D26">
                        <w:rPr>
                          <w:b/>
                          <w:color w:val="EE0000"/>
                          <w:kern w:val="24"/>
                          <w:sz w:val="16"/>
                          <w:szCs w:val="16"/>
                        </w:rPr>
                        <w:t>REPUBLIKA HRVATSKA</w:t>
                      </w:r>
                    </w:p>
                    <w:p w14:paraId="797854AE" w14:textId="77777777" w:rsidR="003C6C7D" w:rsidRPr="0026348B" w:rsidRDefault="003C6C7D" w:rsidP="003C6C7D">
                      <w:pPr>
                        <w:pStyle w:val="StandardWeb"/>
                        <w:spacing w:before="0" w:after="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95156A">
        <w:rPr>
          <w:noProof/>
          <w:lang w:eastAsia="hr-HR"/>
        </w:rPr>
        <w:t xml:space="preserve">             </w:t>
      </w:r>
      <w:r w:rsidR="0095156A">
        <w:rPr>
          <w:noProof/>
          <w:lang w:eastAsia="hr-HR"/>
        </w:rPr>
        <w:drawing>
          <wp:inline distT="0" distB="0" distL="0" distR="0" wp14:anchorId="2A38906F" wp14:editId="5709ABDE">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95156A">
        <w:rPr>
          <w:rFonts w:ascii="Times New Roman" w:eastAsia="Times New Roman" w:hAnsi="Times New Roman" w:cs="Times New Roman"/>
          <w:b/>
          <w:lang w:eastAsia="hr-HR"/>
        </w:rPr>
        <w:t xml:space="preserve">          </w:t>
      </w:r>
      <w:r w:rsidR="0095156A">
        <w:rPr>
          <w:rFonts w:ascii="Times New Roman" w:eastAsiaTheme="majorEastAsia" w:hAnsi="Times New Roman" w:cs="Times New Roman"/>
          <w:b/>
          <w:bCs/>
          <w:noProof/>
          <w:sz w:val="24"/>
          <w:lang w:eastAsia="hr-HR"/>
        </w:rPr>
        <w:t xml:space="preserve">    </w:t>
      </w:r>
      <w:r w:rsidR="0095156A">
        <w:rPr>
          <w:rFonts w:ascii="Times New Roman" w:eastAsiaTheme="majorEastAsia" w:hAnsi="Times New Roman" w:cs="Times New Roman"/>
          <w:b/>
          <w:bCs/>
          <w:noProof/>
          <w:sz w:val="24"/>
          <w:lang w:eastAsia="hr-HR"/>
        </w:rPr>
        <w:drawing>
          <wp:inline distT="0" distB="0" distL="0" distR="0" wp14:anchorId="291350AC" wp14:editId="650A94F9">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95156A">
        <w:rPr>
          <w:rFonts w:ascii="Times New Roman" w:eastAsia="Times New Roman" w:hAnsi="Times New Roman" w:cs="Times New Roman"/>
          <w:b/>
          <w:lang w:eastAsia="hr-HR"/>
        </w:rPr>
        <w:t xml:space="preserve">              </w:t>
      </w:r>
      <w:r w:rsidR="0095156A">
        <w:rPr>
          <w:rFonts w:ascii="Times New Roman" w:eastAsiaTheme="majorEastAsia" w:hAnsi="Times New Roman" w:cs="Times New Roman"/>
          <w:b/>
          <w:bCs/>
          <w:noProof/>
          <w:sz w:val="24"/>
        </w:rPr>
        <w:t xml:space="preserve">                        </w:t>
      </w:r>
    </w:p>
    <w:p w14:paraId="7E2495D1" w14:textId="77777777" w:rsidR="0095156A" w:rsidRDefault="0095156A" w:rsidP="0095156A"/>
    <w:p w14:paraId="5C945DD9" w14:textId="77777777" w:rsidR="0095156A" w:rsidRDefault="0095156A" w:rsidP="0095156A"/>
    <w:p w14:paraId="42E12F77" w14:textId="77777777" w:rsidR="0095156A" w:rsidRDefault="0095156A" w:rsidP="0095156A">
      <w:pPr>
        <w:rPr>
          <w:rFonts w:ascii="Times New Roman" w:hAnsi="Times New Roman" w:cs="Times New Roman"/>
          <w:sz w:val="24"/>
          <w:szCs w:val="24"/>
        </w:rPr>
      </w:pPr>
    </w:p>
    <w:p w14:paraId="53E6B5B5" w14:textId="77777777" w:rsidR="0095156A" w:rsidRPr="006B4308" w:rsidRDefault="0095156A" w:rsidP="0095156A">
      <w:pPr>
        <w:rPr>
          <w:rFonts w:ascii="Times New Roman" w:hAnsi="Times New Roman" w:cs="Times New Roman"/>
          <w:sz w:val="28"/>
          <w:szCs w:val="28"/>
        </w:rPr>
      </w:pPr>
    </w:p>
    <w:p w14:paraId="54D5B38C" w14:textId="77777777" w:rsidR="0095156A" w:rsidRPr="00412402" w:rsidRDefault="0095156A" w:rsidP="0095156A">
      <w:pPr>
        <w:autoSpaceDE w:val="0"/>
        <w:autoSpaceDN w:val="0"/>
        <w:adjustRightInd w:val="0"/>
        <w:spacing w:after="0"/>
        <w:jc w:val="center"/>
        <w:rPr>
          <w:rFonts w:ascii="Times New Roman" w:eastAsia="Times New Roman" w:hAnsi="Times New Roman"/>
          <w:b/>
        </w:rPr>
      </w:pPr>
    </w:p>
    <w:p w14:paraId="3EAFFA88" w14:textId="77777777" w:rsidR="00C64D4D" w:rsidRPr="004702B7" w:rsidRDefault="00C64D4D" w:rsidP="00C64D4D">
      <w:pPr>
        <w:spacing w:after="160" w:line="259" w:lineRule="auto"/>
        <w:jc w:val="center"/>
        <w:rPr>
          <w:rFonts w:ascii="Times New Roman" w:eastAsia="Calibri" w:hAnsi="Times New Roman"/>
          <w:b/>
          <w:bCs/>
          <w:sz w:val="24"/>
          <w:szCs w:val="24"/>
        </w:rPr>
      </w:pPr>
      <w:bookmarkStart w:id="0" w:name="_Hlk108701210"/>
      <w:r w:rsidRPr="004702B7">
        <w:rPr>
          <w:rFonts w:ascii="Times New Roman" w:eastAsia="Calibri" w:hAnsi="Times New Roman"/>
          <w:b/>
          <w:bCs/>
          <w:sz w:val="24"/>
          <w:szCs w:val="24"/>
        </w:rPr>
        <w:t>Poziv Agenciji za pravni promet i posredovanje nekretninama</w:t>
      </w:r>
    </w:p>
    <w:p w14:paraId="0B77B74B" w14:textId="3F56A6A6" w:rsidR="00C64D4D" w:rsidRPr="004702B7" w:rsidRDefault="00C64D4D" w:rsidP="00A96932">
      <w:pPr>
        <w:spacing w:after="160" w:line="259" w:lineRule="auto"/>
        <w:jc w:val="center"/>
        <w:rPr>
          <w:rFonts w:ascii="Times New Roman" w:eastAsia="Calibri" w:hAnsi="Times New Roman"/>
          <w:b/>
          <w:bCs/>
          <w:sz w:val="24"/>
          <w:szCs w:val="24"/>
        </w:rPr>
      </w:pPr>
      <w:r w:rsidRPr="004702B7">
        <w:rPr>
          <w:rFonts w:ascii="Times New Roman" w:eastAsia="Calibri" w:hAnsi="Times New Roman"/>
          <w:b/>
          <w:bCs/>
          <w:sz w:val="24"/>
          <w:szCs w:val="24"/>
        </w:rPr>
        <w:t>na izravnu dodjelu bespovratnih sredstava</w:t>
      </w:r>
      <w:r w:rsidR="00A96932">
        <w:rPr>
          <w:rFonts w:ascii="Times New Roman" w:eastAsia="Calibri" w:hAnsi="Times New Roman"/>
          <w:b/>
          <w:bCs/>
          <w:sz w:val="24"/>
          <w:szCs w:val="24"/>
        </w:rPr>
        <w:t xml:space="preserve"> </w:t>
      </w:r>
      <w:r w:rsidRPr="004702B7">
        <w:rPr>
          <w:rFonts w:ascii="Times New Roman" w:eastAsia="Calibri" w:hAnsi="Times New Roman"/>
          <w:b/>
          <w:bCs/>
          <w:sz w:val="24"/>
          <w:szCs w:val="24"/>
        </w:rPr>
        <w:t>za:</w:t>
      </w:r>
    </w:p>
    <w:p w14:paraId="0ABF75B1" w14:textId="77777777" w:rsidR="00C64D4D" w:rsidRPr="004702B7" w:rsidRDefault="00C64D4D" w:rsidP="00C64D4D">
      <w:pPr>
        <w:spacing w:after="160" w:line="259" w:lineRule="auto"/>
        <w:jc w:val="center"/>
        <w:rPr>
          <w:rFonts w:ascii="Times New Roman" w:eastAsia="Calibri" w:hAnsi="Times New Roman"/>
          <w:b/>
          <w:bCs/>
          <w:sz w:val="24"/>
          <w:szCs w:val="24"/>
        </w:rPr>
      </w:pPr>
    </w:p>
    <w:p w14:paraId="3E926725" w14:textId="439C40D8" w:rsidR="00BE505A" w:rsidRPr="00E21A97" w:rsidRDefault="00C64D4D" w:rsidP="00C64D4D">
      <w:pPr>
        <w:pStyle w:val="Naslov"/>
        <w:spacing w:line="276" w:lineRule="auto"/>
        <w:jc w:val="both"/>
        <w:rPr>
          <w:rStyle w:val="Bodytext285pt"/>
          <w:rFonts w:eastAsia="SimSun"/>
          <w:sz w:val="52"/>
          <w:szCs w:val="52"/>
        </w:rPr>
      </w:pPr>
      <w:r w:rsidRPr="004702B7">
        <w:rPr>
          <w:rFonts w:ascii="Times New Roman" w:hAnsi="Times New Roman"/>
          <w:color w:val="000000"/>
          <w:spacing w:val="0"/>
          <w:lang w:val="en-US"/>
        </w:rPr>
        <w:t>Energetsk</w:t>
      </w:r>
      <w:r w:rsidR="00A96932">
        <w:rPr>
          <w:rFonts w:ascii="Times New Roman" w:hAnsi="Times New Roman"/>
          <w:color w:val="000000"/>
          <w:spacing w:val="0"/>
          <w:lang w:val="en-US"/>
        </w:rPr>
        <w:t>u</w:t>
      </w:r>
      <w:r w:rsidRPr="004702B7">
        <w:rPr>
          <w:rFonts w:ascii="Times New Roman" w:hAnsi="Times New Roman"/>
          <w:color w:val="000000"/>
          <w:spacing w:val="0"/>
          <w:lang w:val="en-US"/>
        </w:rPr>
        <w:t xml:space="preserve"> obnov</w:t>
      </w:r>
      <w:r w:rsidR="00A96932">
        <w:rPr>
          <w:rFonts w:ascii="Times New Roman" w:hAnsi="Times New Roman"/>
          <w:color w:val="000000"/>
          <w:spacing w:val="0"/>
          <w:lang w:val="en-US"/>
        </w:rPr>
        <w:t>u</w:t>
      </w:r>
      <w:r w:rsidRPr="004702B7">
        <w:rPr>
          <w:rFonts w:ascii="Times New Roman" w:hAnsi="Times New Roman"/>
          <w:color w:val="000000"/>
          <w:spacing w:val="0"/>
          <w:lang w:val="en-US"/>
        </w:rPr>
        <w:t xml:space="preserve"> zgrada javnog sektora </w:t>
      </w:r>
      <w:bookmarkEnd w:id="0"/>
      <w:r w:rsidR="00A56C4F">
        <w:rPr>
          <w:rFonts w:ascii="Times New Roman" w:hAnsi="Times New Roman"/>
          <w:color w:val="000000"/>
          <w:spacing w:val="0"/>
          <w:lang w:val="en-US"/>
        </w:rPr>
        <w:t>ugovaranjem energetske usluge</w:t>
      </w:r>
      <w:r w:rsidR="00BE505A" w:rsidRPr="00E21A97">
        <w:rPr>
          <w:rStyle w:val="TekstkomentaraChar"/>
          <w:rFonts w:eastAsia="SimSun"/>
        </w:rPr>
        <w:t xml:space="preserve"> </w:t>
      </w:r>
    </w:p>
    <w:p w14:paraId="2D632D83" w14:textId="77777777" w:rsidR="0095156A" w:rsidRPr="00412402" w:rsidRDefault="0095156A" w:rsidP="0095156A">
      <w:pPr>
        <w:rPr>
          <w:rFonts w:ascii="Times New Roman" w:eastAsia="Times New Roman" w:hAnsi="Times New Roman"/>
        </w:rPr>
      </w:pPr>
    </w:p>
    <w:p w14:paraId="50D5B841" w14:textId="63B30B3A" w:rsidR="0095156A" w:rsidRPr="00C6311A" w:rsidRDefault="0095156A" w:rsidP="0095156A">
      <w:pPr>
        <w:spacing w:after="0"/>
        <w:jc w:val="center"/>
        <w:rPr>
          <w:rFonts w:ascii="Times New Roman" w:eastAsia="Times New Roman" w:hAnsi="Times New Roman" w:cs="Times New Roman"/>
          <w:b/>
          <w:bCs/>
          <w:sz w:val="28"/>
          <w:szCs w:val="28"/>
        </w:rPr>
      </w:pPr>
      <w:r w:rsidRPr="00C6311A">
        <w:rPr>
          <w:rFonts w:ascii="Times New Roman" w:eastAsia="Times New Roman" w:hAnsi="Times New Roman" w:cs="Times New Roman"/>
          <w:b/>
          <w:bCs/>
          <w:sz w:val="28"/>
          <w:szCs w:val="28"/>
        </w:rPr>
        <w:t>DODATAK 1.</w:t>
      </w:r>
      <w:r w:rsidR="00A96932">
        <w:rPr>
          <w:rFonts w:ascii="Times New Roman" w:eastAsia="Times New Roman" w:hAnsi="Times New Roman" w:cs="Times New Roman"/>
          <w:b/>
          <w:bCs/>
          <w:sz w:val="28"/>
          <w:szCs w:val="28"/>
        </w:rPr>
        <w:t>3</w:t>
      </w:r>
      <w:r w:rsidRPr="00C6311A">
        <w:rPr>
          <w:rFonts w:ascii="Times New Roman" w:eastAsia="Times New Roman" w:hAnsi="Times New Roman" w:cs="Times New Roman"/>
          <w:b/>
          <w:bCs/>
          <w:sz w:val="28"/>
          <w:szCs w:val="28"/>
        </w:rPr>
        <w:t xml:space="preserve">. </w:t>
      </w:r>
    </w:p>
    <w:p w14:paraId="09F69104" w14:textId="77777777" w:rsidR="003C6C7D" w:rsidRPr="00C6311A" w:rsidRDefault="003C6C7D" w:rsidP="003C6C7D">
      <w:pPr>
        <w:pStyle w:val="Bezproreda"/>
        <w:rPr>
          <w:rFonts w:eastAsiaTheme="minorEastAsia"/>
          <w:b/>
          <w:bCs/>
          <w:iCs/>
          <w:noProof w:val="0"/>
          <w:sz w:val="28"/>
          <w:szCs w:val="28"/>
        </w:rPr>
      </w:pPr>
    </w:p>
    <w:p w14:paraId="5EE48582" w14:textId="53260B16" w:rsidR="0095156A" w:rsidRPr="00C6311A" w:rsidRDefault="003C6C7D" w:rsidP="003C6C7D">
      <w:pPr>
        <w:pStyle w:val="Bezproreda"/>
        <w:jc w:val="center"/>
        <w:rPr>
          <w:sz w:val="28"/>
          <w:szCs w:val="28"/>
        </w:rPr>
      </w:pPr>
      <w:r w:rsidRPr="00C6311A">
        <w:rPr>
          <w:rFonts w:eastAsiaTheme="minorEastAsia"/>
          <w:b/>
          <w:bCs/>
          <w:iCs/>
          <w:noProof w:val="0"/>
          <w:sz w:val="28"/>
          <w:szCs w:val="28"/>
        </w:rPr>
        <w:t>PRAVILA O FINANCIJSKIM KOREKCIJAMA</w:t>
      </w:r>
    </w:p>
    <w:p w14:paraId="7FE2ABC2" w14:textId="77777777" w:rsidR="0095156A" w:rsidRPr="00931117" w:rsidRDefault="0095156A" w:rsidP="0095156A">
      <w:pPr>
        <w:tabs>
          <w:tab w:val="left" w:pos="549"/>
        </w:tabs>
        <w:kinsoku w:val="0"/>
        <w:overflowPunct w:val="0"/>
        <w:spacing w:after="0"/>
        <w:ind w:left="567"/>
        <w:contextualSpacing/>
        <w:jc w:val="both"/>
        <w:outlineLvl w:val="0"/>
        <w:rPr>
          <w:rFonts w:ascii="Times New Roman" w:eastAsiaTheme="majorEastAsia" w:hAnsi="Times New Roman" w:cs="Times New Roman"/>
          <w:b/>
          <w:bCs/>
          <w:sz w:val="24"/>
        </w:rPr>
      </w:pPr>
    </w:p>
    <w:p w14:paraId="35E42205" w14:textId="77777777" w:rsidR="0095156A" w:rsidRPr="00931117" w:rsidRDefault="0095156A" w:rsidP="0095156A">
      <w:pPr>
        <w:tabs>
          <w:tab w:val="left" w:pos="549"/>
        </w:tabs>
        <w:kinsoku w:val="0"/>
        <w:overflowPunct w:val="0"/>
        <w:spacing w:after="0"/>
        <w:ind w:left="567"/>
        <w:contextualSpacing/>
        <w:jc w:val="both"/>
        <w:outlineLvl w:val="0"/>
        <w:rPr>
          <w:rFonts w:ascii="Times New Roman" w:eastAsiaTheme="majorEastAsia" w:hAnsi="Times New Roman" w:cs="Times New Roman"/>
          <w:b/>
          <w:bCs/>
          <w:sz w:val="24"/>
        </w:rPr>
      </w:pPr>
    </w:p>
    <w:p w14:paraId="0BF9ED11" w14:textId="77777777" w:rsidR="0095156A" w:rsidRPr="00931117" w:rsidRDefault="0095156A" w:rsidP="0095156A">
      <w:pPr>
        <w:tabs>
          <w:tab w:val="left" w:pos="549"/>
        </w:tabs>
        <w:kinsoku w:val="0"/>
        <w:overflowPunct w:val="0"/>
        <w:spacing w:after="0"/>
        <w:ind w:left="567"/>
        <w:contextualSpacing/>
        <w:jc w:val="both"/>
        <w:outlineLvl w:val="0"/>
        <w:rPr>
          <w:rFonts w:ascii="Times New Roman" w:eastAsiaTheme="majorEastAsia" w:hAnsi="Times New Roman" w:cs="Times New Roman"/>
          <w:b/>
          <w:bCs/>
          <w:sz w:val="24"/>
        </w:rPr>
      </w:pPr>
    </w:p>
    <w:p w14:paraId="0E085116" w14:textId="77777777" w:rsidR="0095156A" w:rsidRPr="006F3544" w:rsidRDefault="0095156A" w:rsidP="0095156A">
      <w:pPr>
        <w:tabs>
          <w:tab w:val="left" w:pos="549"/>
        </w:tabs>
        <w:kinsoku w:val="0"/>
        <w:overflowPunct w:val="0"/>
        <w:spacing w:after="0"/>
        <w:ind w:left="567"/>
        <w:contextualSpacing/>
        <w:jc w:val="both"/>
        <w:outlineLvl w:val="0"/>
        <w:rPr>
          <w:rFonts w:ascii="Times New Roman" w:eastAsiaTheme="majorEastAsia" w:hAnsi="Times New Roman" w:cs="Times New Roman"/>
          <w:b/>
          <w:bCs/>
          <w:sz w:val="24"/>
        </w:rPr>
      </w:pPr>
    </w:p>
    <w:p w14:paraId="094BC2E0" w14:textId="77777777" w:rsidR="0095156A" w:rsidRDefault="0095156A" w:rsidP="00C64D4D">
      <w:pPr>
        <w:pStyle w:val="Bezproreda"/>
        <w:ind w:right="5482"/>
        <w:rPr>
          <w:b/>
          <w:color w:val="000000" w:themeColor="text1"/>
          <w:spacing w:val="10"/>
          <w:sz w:val="28"/>
        </w:rPr>
      </w:pPr>
    </w:p>
    <w:p w14:paraId="3A7FC3DF" w14:textId="77777777" w:rsidR="0095156A" w:rsidRDefault="0095156A" w:rsidP="0095156A">
      <w:pPr>
        <w:pStyle w:val="Bezproreda"/>
        <w:ind w:right="5482"/>
        <w:jc w:val="center"/>
        <w:rPr>
          <w:b/>
          <w:color w:val="000000" w:themeColor="text1"/>
          <w:spacing w:val="10"/>
          <w:sz w:val="28"/>
        </w:rPr>
      </w:pPr>
    </w:p>
    <w:p w14:paraId="528A1A34" w14:textId="77777777" w:rsidR="0095156A" w:rsidRDefault="0095156A" w:rsidP="0095156A">
      <w:pPr>
        <w:pStyle w:val="Bezproreda"/>
        <w:ind w:right="5482"/>
        <w:jc w:val="center"/>
        <w:rPr>
          <w:b/>
          <w:color w:val="000000" w:themeColor="text1"/>
          <w:spacing w:val="10"/>
          <w:sz w:val="28"/>
        </w:rPr>
      </w:pPr>
    </w:p>
    <w:p w14:paraId="171C0EB7" w14:textId="77777777" w:rsidR="0095156A" w:rsidRDefault="0095156A" w:rsidP="0095156A">
      <w:pPr>
        <w:pStyle w:val="Bezproreda"/>
        <w:ind w:right="5482"/>
        <w:jc w:val="center"/>
        <w:rPr>
          <w:b/>
          <w:color w:val="000000" w:themeColor="text1"/>
          <w:spacing w:val="10"/>
          <w:sz w:val="28"/>
        </w:rPr>
      </w:pPr>
    </w:p>
    <w:p w14:paraId="2A6D4372" w14:textId="77777777" w:rsidR="0095156A" w:rsidRDefault="0095156A" w:rsidP="0095156A">
      <w:pPr>
        <w:pStyle w:val="Bezproreda"/>
        <w:ind w:right="5482"/>
        <w:jc w:val="center"/>
        <w:rPr>
          <w:b/>
          <w:color w:val="000000" w:themeColor="text1"/>
          <w:spacing w:val="10"/>
          <w:sz w:val="28"/>
        </w:rPr>
      </w:pPr>
    </w:p>
    <w:p w14:paraId="3CC13266" w14:textId="77777777" w:rsidR="0095156A" w:rsidRDefault="0095156A" w:rsidP="0095156A">
      <w:pPr>
        <w:pStyle w:val="Bezproreda"/>
        <w:ind w:right="5482"/>
        <w:jc w:val="center"/>
        <w:rPr>
          <w:b/>
          <w:color w:val="000000" w:themeColor="text1"/>
          <w:spacing w:val="10"/>
          <w:sz w:val="28"/>
        </w:rPr>
      </w:pPr>
    </w:p>
    <w:p w14:paraId="5AB73F8E" w14:textId="77777777" w:rsidR="0095156A" w:rsidRDefault="0095156A" w:rsidP="0095156A">
      <w:pPr>
        <w:pStyle w:val="Bezproreda"/>
        <w:ind w:right="5482"/>
        <w:jc w:val="center"/>
        <w:rPr>
          <w:b/>
          <w:color w:val="000000" w:themeColor="text1"/>
          <w:spacing w:val="10"/>
          <w:sz w:val="28"/>
        </w:rPr>
      </w:pPr>
    </w:p>
    <w:p w14:paraId="430E15E2" w14:textId="77777777" w:rsidR="0095156A" w:rsidRDefault="0095156A" w:rsidP="0095156A">
      <w:pPr>
        <w:pStyle w:val="Bezproreda"/>
        <w:ind w:right="5482"/>
        <w:jc w:val="center"/>
        <w:rPr>
          <w:b/>
          <w:color w:val="000000" w:themeColor="text1"/>
          <w:spacing w:val="10"/>
          <w:sz w:val="28"/>
        </w:rPr>
      </w:pPr>
    </w:p>
    <w:p w14:paraId="0E6A5D24" w14:textId="77777777" w:rsidR="0095156A" w:rsidRDefault="0095156A" w:rsidP="0095156A">
      <w:pPr>
        <w:pStyle w:val="Bezproreda"/>
        <w:ind w:right="5482"/>
        <w:jc w:val="center"/>
        <w:rPr>
          <w:b/>
          <w:color w:val="000000" w:themeColor="text1"/>
          <w:spacing w:val="10"/>
          <w:sz w:val="28"/>
        </w:rPr>
      </w:pPr>
    </w:p>
    <w:p w14:paraId="50BEFF1D" w14:textId="77777777" w:rsidR="0095156A" w:rsidRDefault="0095156A" w:rsidP="003C6C7D">
      <w:pPr>
        <w:pStyle w:val="Bezproreda"/>
        <w:ind w:right="5482"/>
        <w:rPr>
          <w:b/>
          <w:color w:val="000000" w:themeColor="text1"/>
          <w:spacing w:val="10"/>
          <w:sz w:val="28"/>
        </w:rPr>
      </w:pPr>
    </w:p>
    <w:p w14:paraId="4A4DEAE1" w14:textId="77777777" w:rsidR="0095156A" w:rsidRDefault="0095156A" w:rsidP="0095156A">
      <w:pPr>
        <w:jc w:val="center"/>
      </w:pPr>
      <w:r w:rsidRPr="00D645B9">
        <w:rPr>
          <w:rFonts w:ascii="Times New Roman" w:hAnsi="Times New Roman" w:cs="Times New Roman"/>
          <w:sz w:val="24"/>
          <w:szCs w:val="24"/>
        </w:rPr>
        <w:t>Ovaj poziv se financira iz Mehanizma za oporavak i otpornost</w:t>
      </w:r>
    </w:p>
    <w:p w14:paraId="37303D5C" w14:textId="3F36FFB3" w:rsidR="00997C14" w:rsidRDefault="00997C14" w:rsidP="009660C6">
      <w:pPr>
        <w:spacing w:before="0" w:after="0"/>
        <w:contextualSpacing/>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lastRenderedPageBreak/>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1457621D" w14:textId="23F12F96"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w:t>
      </w:r>
      <w:r w:rsidR="00D0103E" w:rsidRPr="00DC1AD5">
        <w:rPr>
          <w:rFonts w:ascii="Times New Roman" w:eastAsia="Calibri" w:hAnsi="Times New Roman" w:cs="Times New Roman"/>
          <w:sz w:val="24"/>
          <w:szCs w:val="24"/>
        </w:rPr>
        <w:lastRenderedPageBreak/>
        <w:t>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1281737A" w:rsidR="00EC6390" w:rsidRDefault="00EC6390" w:rsidP="00EC6390">
      <w:pPr>
        <w:spacing w:before="0" w:after="0"/>
        <w:contextualSpacing/>
        <w:rPr>
          <w:rFonts w:ascii="Times New Roman" w:eastAsia="Times New Roman" w:hAnsi="Times New Roman" w:cs="Times New Roman"/>
          <w:sz w:val="24"/>
          <w:szCs w:val="24"/>
          <w:lang w:eastAsia="hr-HR"/>
        </w:rPr>
      </w:pPr>
    </w:p>
    <w:p w14:paraId="0B37C1E7" w14:textId="77777777" w:rsidR="009660C6" w:rsidRDefault="009660C6"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625FEC0" w14:textId="71613183" w:rsidR="00D0103E" w:rsidRDefault="00D0103E" w:rsidP="00D0103E">
      <w:pPr>
        <w:spacing w:before="0" w:after="0"/>
        <w:contextualSpacing/>
        <w:jc w:val="both"/>
        <w:rPr>
          <w:rFonts w:ascii="Times New Roman" w:eastAsia="Times New Roman" w:hAnsi="Times New Roman" w:cs="Times New Roman"/>
          <w:sz w:val="24"/>
          <w:szCs w:val="24"/>
          <w:lang w:eastAsia="hr-HR"/>
        </w:rPr>
      </w:pPr>
    </w:p>
    <w:p w14:paraId="38B56700" w14:textId="77777777" w:rsidR="009660C6" w:rsidRPr="00DC1AD5" w:rsidRDefault="009660C6"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703EDD7" w14:textId="42AE1B59"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C5BF3B5" w14:textId="77777777" w:rsidR="009660C6" w:rsidRDefault="009660C6"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33F0503F" w14:textId="2B765088" w:rsidR="00D0103E" w:rsidRPr="00DC1AD5" w:rsidRDefault="00D0103E" w:rsidP="009660C6">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 xml:space="preserve">financijske posljedice za ugovor o (javnoj) nabavi ili ugovor o dodjeli bespovratnih </w:t>
      </w:r>
      <w:r w:rsidR="002C390F" w:rsidRPr="00DC1AD5">
        <w:rPr>
          <w:rFonts w:ascii="Times New Roman" w:eastAsia="Times New Roman" w:hAnsi="Times New Roman" w:cs="Times New Roman"/>
          <w:sz w:val="24"/>
          <w:szCs w:val="24"/>
          <w:lang w:eastAsia="hr-HR"/>
        </w:rPr>
        <w:lastRenderedPageBreak/>
        <w:t>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61832486" w14:textId="0B86DF4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lastRenderedPageBreak/>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8CBACC6" w14:textId="674DFBC7" w:rsidR="00D0103E" w:rsidRPr="00DC1AD5" w:rsidRDefault="00D0103E" w:rsidP="009660C6">
      <w:pPr>
        <w:spacing w:before="0" w:after="0"/>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lastRenderedPageBreak/>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161EED16" w:rsidR="003F26C6" w:rsidRDefault="003F26C6" w:rsidP="008905B5">
      <w:pPr>
        <w:spacing w:before="0" w:after="0"/>
        <w:contextualSpacing/>
        <w:rPr>
          <w:rFonts w:ascii="Times New Roman" w:eastAsia="Times New Roman" w:hAnsi="Times New Roman" w:cs="Times New Roman"/>
          <w:sz w:val="24"/>
          <w:szCs w:val="24"/>
          <w:lang w:eastAsia="hr-HR"/>
        </w:rPr>
      </w:pPr>
    </w:p>
    <w:p w14:paraId="3B7A26DB" w14:textId="2842E890" w:rsidR="009660C6" w:rsidRDefault="009660C6" w:rsidP="008905B5">
      <w:pPr>
        <w:spacing w:before="0" w:after="0"/>
        <w:contextualSpacing/>
        <w:rPr>
          <w:rFonts w:ascii="Times New Roman" w:eastAsia="Times New Roman" w:hAnsi="Times New Roman" w:cs="Times New Roman"/>
          <w:sz w:val="24"/>
          <w:szCs w:val="24"/>
          <w:lang w:eastAsia="hr-HR"/>
        </w:rPr>
      </w:pPr>
    </w:p>
    <w:p w14:paraId="29E0A0F3" w14:textId="79C0FE5D" w:rsidR="009660C6" w:rsidRDefault="009660C6" w:rsidP="008905B5">
      <w:pPr>
        <w:spacing w:before="0" w:after="0"/>
        <w:contextualSpacing/>
        <w:rPr>
          <w:rFonts w:ascii="Times New Roman" w:eastAsia="Times New Roman" w:hAnsi="Times New Roman" w:cs="Times New Roman"/>
          <w:sz w:val="24"/>
          <w:szCs w:val="24"/>
          <w:lang w:eastAsia="hr-HR"/>
        </w:rPr>
      </w:pPr>
    </w:p>
    <w:p w14:paraId="7BEB323D" w14:textId="37CFEB11" w:rsidR="009660C6" w:rsidRDefault="009660C6" w:rsidP="008905B5">
      <w:pPr>
        <w:spacing w:before="0" w:after="0"/>
        <w:contextualSpacing/>
        <w:rPr>
          <w:rFonts w:ascii="Times New Roman" w:eastAsia="Times New Roman" w:hAnsi="Times New Roman" w:cs="Times New Roman"/>
          <w:sz w:val="24"/>
          <w:szCs w:val="24"/>
          <w:lang w:eastAsia="hr-HR"/>
        </w:rPr>
      </w:pPr>
    </w:p>
    <w:p w14:paraId="3E79BBB9" w14:textId="58279016" w:rsidR="009660C6" w:rsidRDefault="009660C6" w:rsidP="008905B5">
      <w:pPr>
        <w:spacing w:before="0" w:after="0"/>
        <w:contextualSpacing/>
        <w:rPr>
          <w:rFonts w:ascii="Times New Roman" w:eastAsia="Times New Roman" w:hAnsi="Times New Roman" w:cs="Times New Roman"/>
          <w:sz w:val="24"/>
          <w:szCs w:val="24"/>
          <w:lang w:eastAsia="hr-HR"/>
        </w:rPr>
      </w:pPr>
    </w:p>
    <w:p w14:paraId="00CF70AA" w14:textId="7AFB92A0" w:rsidR="009660C6" w:rsidRDefault="009660C6" w:rsidP="008905B5">
      <w:pPr>
        <w:spacing w:before="0" w:after="0"/>
        <w:contextualSpacing/>
        <w:rPr>
          <w:rFonts w:ascii="Times New Roman" w:eastAsia="Times New Roman" w:hAnsi="Times New Roman" w:cs="Times New Roman"/>
          <w:sz w:val="24"/>
          <w:szCs w:val="24"/>
          <w:lang w:eastAsia="hr-HR"/>
        </w:rPr>
      </w:pPr>
    </w:p>
    <w:p w14:paraId="20350887" w14:textId="5F220825" w:rsidR="009660C6" w:rsidRDefault="009660C6" w:rsidP="008905B5">
      <w:pPr>
        <w:spacing w:before="0" w:after="0"/>
        <w:contextualSpacing/>
        <w:rPr>
          <w:rFonts w:ascii="Times New Roman" w:eastAsia="Times New Roman" w:hAnsi="Times New Roman" w:cs="Times New Roman"/>
          <w:sz w:val="24"/>
          <w:szCs w:val="24"/>
          <w:lang w:eastAsia="hr-HR"/>
        </w:rPr>
      </w:pPr>
    </w:p>
    <w:p w14:paraId="379F4EDB" w14:textId="04192A0E" w:rsidR="009660C6" w:rsidRDefault="009660C6" w:rsidP="008905B5">
      <w:pPr>
        <w:spacing w:before="0" w:after="0"/>
        <w:contextualSpacing/>
        <w:rPr>
          <w:rFonts w:ascii="Times New Roman" w:eastAsia="Times New Roman" w:hAnsi="Times New Roman" w:cs="Times New Roman"/>
          <w:sz w:val="24"/>
          <w:szCs w:val="24"/>
          <w:lang w:eastAsia="hr-HR"/>
        </w:rPr>
      </w:pPr>
    </w:p>
    <w:p w14:paraId="546EFADB" w14:textId="59A745F1" w:rsidR="009660C6" w:rsidRDefault="009660C6" w:rsidP="008905B5">
      <w:pPr>
        <w:spacing w:before="0" w:after="0"/>
        <w:contextualSpacing/>
        <w:rPr>
          <w:rFonts w:ascii="Times New Roman" w:eastAsia="Times New Roman" w:hAnsi="Times New Roman" w:cs="Times New Roman"/>
          <w:sz w:val="24"/>
          <w:szCs w:val="24"/>
          <w:lang w:eastAsia="hr-HR"/>
        </w:rPr>
      </w:pPr>
    </w:p>
    <w:p w14:paraId="0133191A" w14:textId="5D82D248" w:rsidR="009660C6" w:rsidRDefault="009660C6" w:rsidP="008905B5">
      <w:pPr>
        <w:spacing w:before="0" w:after="0"/>
        <w:contextualSpacing/>
        <w:rPr>
          <w:rFonts w:ascii="Times New Roman" w:eastAsia="Times New Roman" w:hAnsi="Times New Roman" w:cs="Times New Roman"/>
          <w:sz w:val="24"/>
          <w:szCs w:val="24"/>
          <w:lang w:eastAsia="hr-HR"/>
        </w:rPr>
      </w:pPr>
    </w:p>
    <w:p w14:paraId="7EC9FF86" w14:textId="4A31A039" w:rsidR="009660C6" w:rsidRDefault="009660C6" w:rsidP="008905B5">
      <w:pPr>
        <w:spacing w:before="0" w:after="0"/>
        <w:contextualSpacing/>
        <w:rPr>
          <w:rFonts w:ascii="Times New Roman" w:eastAsia="Times New Roman" w:hAnsi="Times New Roman" w:cs="Times New Roman"/>
          <w:sz w:val="24"/>
          <w:szCs w:val="24"/>
          <w:lang w:eastAsia="hr-HR"/>
        </w:rPr>
      </w:pPr>
    </w:p>
    <w:p w14:paraId="6CDC90AF" w14:textId="2E64D388" w:rsidR="009660C6" w:rsidRDefault="009660C6" w:rsidP="008905B5">
      <w:pPr>
        <w:spacing w:before="0" w:after="0"/>
        <w:contextualSpacing/>
        <w:rPr>
          <w:rFonts w:ascii="Times New Roman" w:eastAsia="Times New Roman" w:hAnsi="Times New Roman" w:cs="Times New Roman"/>
          <w:sz w:val="24"/>
          <w:szCs w:val="24"/>
          <w:lang w:eastAsia="hr-HR"/>
        </w:rPr>
      </w:pPr>
    </w:p>
    <w:p w14:paraId="6D13DDE6" w14:textId="321020B3" w:rsidR="009660C6" w:rsidRDefault="009660C6" w:rsidP="008905B5">
      <w:pPr>
        <w:spacing w:before="0" w:after="0"/>
        <w:contextualSpacing/>
        <w:rPr>
          <w:rFonts w:ascii="Times New Roman" w:eastAsia="Times New Roman" w:hAnsi="Times New Roman" w:cs="Times New Roman"/>
          <w:sz w:val="24"/>
          <w:szCs w:val="24"/>
          <w:lang w:eastAsia="hr-HR"/>
        </w:rPr>
      </w:pPr>
    </w:p>
    <w:p w14:paraId="2FC3327E" w14:textId="1E2D1DCF" w:rsidR="009660C6" w:rsidRDefault="009660C6" w:rsidP="008905B5">
      <w:pPr>
        <w:spacing w:before="0" w:after="0"/>
        <w:contextualSpacing/>
        <w:rPr>
          <w:rFonts w:ascii="Times New Roman" w:eastAsia="Times New Roman" w:hAnsi="Times New Roman" w:cs="Times New Roman"/>
          <w:sz w:val="24"/>
          <w:szCs w:val="24"/>
          <w:lang w:eastAsia="hr-HR"/>
        </w:rPr>
      </w:pPr>
    </w:p>
    <w:p w14:paraId="43DD4067" w14:textId="77777777" w:rsidR="009660C6" w:rsidRPr="00DC1AD5" w:rsidRDefault="009660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w:t>
            </w:r>
            <w:r w:rsidRPr="00E43DB5">
              <w:rPr>
                <w:rFonts w:ascii="Times New Roman" w:eastAsia="Calibri" w:hAnsi="Times New Roman" w:cs="Times New Roman"/>
                <w:sz w:val="20"/>
                <w:szCs w:val="20"/>
              </w:rPr>
              <w:lastRenderedPageBreak/>
              <w:t>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60C6">
        <w:trPr>
          <w:trHeight w:val="3883"/>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w:t>
            </w:r>
            <w:r w:rsidRPr="00433D7E">
              <w:rPr>
                <w:rFonts w:ascii="Times New Roman" w:eastAsia="Calibri" w:hAnsi="Times New Roman" w:cs="Times New Roman"/>
                <w:sz w:val="20"/>
                <w:szCs w:val="20"/>
              </w:rPr>
              <w:lastRenderedPageBreak/>
              <w:t>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1C837DCD" w:rsidR="0096073E" w:rsidRPr="009660C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slučajevi kad se navode norme osiguranja kvalitete pri čemu je iz DoN-a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9660C6">
        <w:trPr>
          <w:trHeight w:val="3915"/>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9660C6">
        <w:trPr>
          <w:trHeight w:val="4369"/>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634ACF7" w14:textId="131F4F1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9660C6">
        <w:trPr>
          <w:trHeight w:val="218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1CA5843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17CA1E55" w:rsidR="0059240E" w:rsidRPr="00D447D4" w:rsidRDefault="0059240E" w:rsidP="009660C6">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9660C6">
        <w:trPr>
          <w:trHeight w:val="1007"/>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1ACD61" w14:textId="558C7A83"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9660C6">
        <w:trPr>
          <w:trHeight w:val="1071"/>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w:t>
            </w:r>
            <w:r w:rsidRPr="00AD39EC">
              <w:rPr>
                <w:rFonts w:ascii="Times New Roman" w:eastAsia="Calibri" w:hAnsi="Times New Roman" w:cs="Times New Roman"/>
                <w:sz w:val="20"/>
                <w:szCs w:val="20"/>
              </w:rPr>
              <w:lastRenderedPageBreak/>
              <w:t>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13"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4"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5"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9660C6">
        <w:trPr>
          <w:trHeight w:val="340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B90ACDB" w14:textId="71E9E0A3"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63989D33" w14:textId="785976D1" w:rsidR="00620D19" w:rsidRPr="00DC1AD5"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w:t>
            </w:r>
            <w:r w:rsidR="009660C6">
              <w:rPr>
                <w:rFonts w:ascii="Times New Roman" w:hAnsi="Times New Roman"/>
                <w:sz w:val="20"/>
                <w:szCs w:val="20"/>
              </w:rPr>
              <w:t>ovora koji je sporedne prirode)</w:t>
            </w: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w:t>
            </w:r>
            <w:r w:rsidRPr="00DC1AD5">
              <w:rPr>
                <w:rFonts w:ascii="Times New Roman" w:hAnsi="Times New Roman"/>
                <w:sz w:val="20"/>
                <w:szCs w:val="20"/>
              </w:rPr>
              <w:lastRenderedPageBreak/>
              <w:t>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w:t>
            </w:r>
            <w:r w:rsidRPr="00811D7C">
              <w:rPr>
                <w:rFonts w:ascii="Times New Roman" w:hAnsi="Times New Roman"/>
                <w:sz w:val="20"/>
                <w:szCs w:val="20"/>
              </w:rPr>
              <w:lastRenderedPageBreak/>
              <w:t>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9660C6">
        <w:trPr>
          <w:trHeight w:val="2100"/>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 xml:space="preserve">te ukoliko se radi o stavkama koje su sporedne prirode i nemaju utjecaj na krug </w:t>
            </w:r>
            <w:r w:rsidR="00E22F84">
              <w:rPr>
                <w:rFonts w:ascii="Times New Roman" w:hAnsi="Times New Roman"/>
                <w:sz w:val="20"/>
                <w:szCs w:val="20"/>
              </w:rPr>
              <w:lastRenderedPageBreak/>
              <w:t>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049A2BE1" w14:textId="720941EB" w:rsidR="00620D19" w:rsidRPr="009660C6" w:rsidRDefault="00620D19" w:rsidP="009660C6">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9660C6">
        <w:trPr>
          <w:trHeight w:val="1126"/>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9660C6">
        <w:trPr>
          <w:trHeight w:val="1072"/>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1C1897B" w14:textId="453F5B21"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1F14A90A" w:rsidR="00620D19" w:rsidRDefault="00620D19" w:rsidP="00620D19">
      <w:pPr>
        <w:tabs>
          <w:tab w:val="left" w:pos="2040"/>
        </w:tabs>
        <w:rPr>
          <w:rFonts w:ascii="Times New Roman" w:eastAsia="Calibri" w:hAnsi="Times New Roman" w:cs="Times New Roman"/>
          <w:b/>
        </w:rPr>
      </w:pPr>
    </w:p>
    <w:p w14:paraId="76A5AAD6" w14:textId="232FD4CD" w:rsidR="009660C6" w:rsidRDefault="009660C6" w:rsidP="00620D19">
      <w:pPr>
        <w:tabs>
          <w:tab w:val="left" w:pos="2040"/>
        </w:tabs>
        <w:rPr>
          <w:rFonts w:ascii="Times New Roman" w:eastAsia="Calibri" w:hAnsi="Times New Roman" w:cs="Times New Roman"/>
          <w:b/>
        </w:rPr>
      </w:pPr>
    </w:p>
    <w:p w14:paraId="7D038021" w14:textId="2BC53F73" w:rsidR="009660C6" w:rsidRDefault="009660C6" w:rsidP="00620D19">
      <w:pPr>
        <w:tabs>
          <w:tab w:val="left" w:pos="2040"/>
        </w:tabs>
        <w:rPr>
          <w:rFonts w:ascii="Times New Roman" w:eastAsia="Calibri" w:hAnsi="Times New Roman" w:cs="Times New Roman"/>
          <w:b/>
        </w:rPr>
      </w:pPr>
    </w:p>
    <w:p w14:paraId="491FDFD1" w14:textId="73ACDF63" w:rsidR="009660C6" w:rsidRDefault="009660C6" w:rsidP="00620D19">
      <w:pPr>
        <w:tabs>
          <w:tab w:val="left" w:pos="2040"/>
        </w:tabs>
        <w:rPr>
          <w:rFonts w:ascii="Times New Roman" w:eastAsia="Calibri" w:hAnsi="Times New Roman" w:cs="Times New Roman"/>
          <w:b/>
        </w:rPr>
      </w:pPr>
    </w:p>
    <w:p w14:paraId="4A02C10A" w14:textId="6F3FFA75" w:rsidR="009660C6" w:rsidRDefault="009660C6" w:rsidP="00620D19">
      <w:pPr>
        <w:tabs>
          <w:tab w:val="left" w:pos="2040"/>
        </w:tabs>
        <w:rPr>
          <w:rFonts w:ascii="Times New Roman" w:eastAsia="Calibri" w:hAnsi="Times New Roman" w:cs="Times New Roman"/>
          <w:b/>
        </w:rPr>
      </w:pPr>
    </w:p>
    <w:p w14:paraId="047849A0" w14:textId="51C42FD4" w:rsidR="009660C6" w:rsidRDefault="009660C6" w:rsidP="00620D19">
      <w:pPr>
        <w:tabs>
          <w:tab w:val="left" w:pos="2040"/>
        </w:tabs>
        <w:rPr>
          <w:rFonts w:ascii="Times New Roman" w:eastAsia="Calibri" w:hAnsi="Times New Roman" w:cs="Times New Roman"/>
          <w:b/>
        </w:rPr>
      </w:pPr>
    </w:p>
    <w:p w14:paraId="6E6BA8A3" w14:textId="65B09B76" w:rsidR="009660C6" w:rsidRDefault="009660C6" w:rsidP="00620D19">
      <w:pPr>
        <w:tabs>
          <w:tab w:val="left" w:pos="2040"/>
        </w:tabs>
        <w:rPr>
          <w:rFonts w:ascii="Times New Roman" w:eastAsia="Calibri" w:hAnsi="Times New Roman" w:cs="Times New Roman"/>
          <w:b/>
        </w:rPr>
      </w:pPr>
    </w:p>
    <w:p w14:paraId="4348DB01" w14:textId="62A1FA43" w:rsidR="009660C6" w:rsidRDefault="009660C6" w:rsidP="00620D19">
      <w:pPr>
        <w:tabs>
          <w:tab w:val="left" w:pos="2040"/>
        </w:tabs>
        <w:rPr>
          <w:rFonts w:ascii="Times New Roman" w:eastAsia="Calibri" w:hAnsi="Times New Roman" w:cs="Times New Roman"/>
          <w:b/>
        </w:rPr>
      </w:pPr>
    </w:p>
    <w:p w14:paraId="7B0ABDBE" w14:textId="11038663" w:rsidR="009660C6" w:rsidRDefault="009660C6" w:rsidP="00620D19">
      <w:pPr>
        <w:tabs>
          <w:tab w:val="left" w:pos="2040"/>
        </w:tabs>
        <w:rPr>
          <w:rFonts w:ascii="Times New Roman" w:eastAsia="Calibri" w:hAnsi="Times New Roman" w:cs="Times New Roman"/>
          <w:b/>
        </w:rPr>
      </w:pPr>
    </w:p>
    <w:p w14:paraId="4F47303F" w14:textId="53F7951C" w:rsidR="009660C6" w:rsidRDefault="009660C6" w:rsidP="00620D19">
      <w:pPr>
        <w:tabs>
          <w:tab w:val="left" w:pos="2040"/>
        </w:tabs>
        <w:rPr>
          <w:rFonts w:ascii="Times New Roman" w:eastAsia="Calibri" w:hAnsi="Times New Roman" w:cs="Times New Roman"/>
          <w:b/>
        </w:rPr>
      </w:pPr>
    </w:p>
    <w:p w14:paraId="5C202E5C" w14:textId="7D332185" w:rsidR="009660C6" w:rsidRDefault="009660C6" w:rsidP="00620D19">
      <w:pPr>
        <w:tabs>
          <w:tab w:val="left" w:pos="2040"/>
        </w:tabs>
        <w:rPr>
          <w:rFonts w:ascii="Times New Roman" w:eastAsia="Calibri" w:hAnsi="Times New Roman" w:cs="Times New Roman"/>
          <w:b/>
        </w:rPr>
      </w:pPr>
    </w:p>
    <w:p w14:paraId="2D99D92A" w14:textId="3E0CCA17" w:rsidR="009660C6" w:rsidRDefault="009660C6" w:rsidP="00620D19">
      <w:pPr>
        <w:tabs>
          <w:tab w:val="left" w:pos="2040"/>
        </w:tabs>
        <w:rPr>
          <w:rFonts w:ascii="Times New Roman" w:eastAsia="Calibri" w:hAnsi="Times New Roman" w:cs="Times New Roman"/>
          <w:b/>
        </w:rPr>
      </w:pPr>
    </w:p>
    <w:p w14:paraId="0BB1B4A4" w14:textId="1637D60B" w:rsidR="009660C6" w:rsidRDefault="009660C6" w:rsidP="00620D19">
      <w:pPr>
        <w:tabs>
          <w:tab w:val="left" w:pos="2040"/>
        </w:tabs>
        <w:rPr>
          <w:rFonts w:ascii="Times New Roman" w:eastAsia="Calibri" w:hAnsi="Times New Roman" w:cs="Times New Roman"/>
          <w:b/>
        </w:rPr>
      </w:pPr>
    </w:p>
    <w:p w14:paraId="771B1EF6" w14:textId="51538460" w:rsidR="009660C6" w:rsidRDefault="009660C6" w:rsidP="00620D19">
      <w:pPr>
        <w:tabs>
          <w:tab w:val="left" w:pos="2040"/>
        </w:tabs>
        <w:rPr>
          <w:rFonts w:ascii="Times New Roman" w:eastAsia="Calibri" w:hAnsi="Times New Roman" w:cs="Times New Roman"/>
          <w:b/>
        </w:rPr>
      </w:pPr>
    </w:p>
    <w:p w14:paraId="0C0A4AA5" w14:textId="00553EEC" w:rsidR="009660C6" w:rsidRDefault="009660C6" w:rsidP="00620D19">
      <w:pPr>
        <w:tabs>
          <w:tab w:val="left" w:pos="2040"/>
        </w:tabs>
        <w:rPr>
          <w:rFonts w:ascii="Times New Roman" w:eastAsia="Calibri" w:hAnsi="Times New Roman" w:cs="Times New Roman"/>
          <w:b/>
        </w:rPr>
      </w:pPr>
    </w:p>
    <w:p w14:paraId="615B8A52" w14:textId="2E0A3581" w:rsidR="009660C6" w:rsidRDefault="009660C6" w:rsidP="00620D19">
      <w:pPr>
        <w:tabs>
          <w:tab w:val="left" w:pos="2040"/>
        </w:tabs>
        <w:rPr>
          <w:rFonts w:ascii="Times New Roman" w:eastAsia="Calibri" w:hAnsi="Times New Roman" w:cs="Times New Roman"/>
          <w:b/>
        </w:rPr>
      </w:pPr>
    </w:p>
    <w:p w14:paraId="58B36C8E" w14:textId="2CEC4433" w:rsidR="009660C6" w:rsidRDefault="009660C6" w:rsidP="00620D19">
      <w:pPr>
        <w:tabs>
          <w:tab w:val="left" w:pos="2040"/>
        </w:tabs>
        <w:rPr>
          <w:rFonts w:ascii="Times New Roman" w:eastAsia="Calibri" w:hAnsi="Times New Roman" w:cs="Times New Roman"/>
          <w:b/>
        </w:rPr>
      </w:pPr>
    </w:p>
    <w:p w14:paraId="7F012540" w14:textId="7114EC3D" w:rsidR="009660C6" w:rsidRDefault="009660C6" w:rsidP="00620D19">
      <w:pPr>
        <w:tabs>
          <w:tab w:val="left" w:pos="2040"/>
        </w:tabs>
        <w:rPr>
          <w:rFonts w:ascii="Times New Roman" w:eastAsia="Calibri" w:hAnsi="Times New Roman" w:cs="Times New Roman"/>
          <w:b/>
        </w:rPr>
      </w:pPr>
    </w:p>
    <w:p w14:paraId="4AB7C46A" w14:textId="39BF425A" w:rsidR="009660C6" w:rsidRDefault="009660C6" w:rsidP="00620D19">
      <w:pPr>
        <w:tabs>
          <w:tab w:val="left" w:pos="2040"/>
        </w:tabs>
        <w:rPr>
          <w:rFonts w:ascii="Times New Roman" w:eastAsia="Calibri" w:hAnsi="Times New Roman" w:cs="Times New Roman"/>
          <w:b/>
        </w:rPr>
      </w:pPr>
    </w:p>
    <w:p w14:paraId="79615866" w14:textId="126FE0B1" w:rsidR="009660C6" w:rsidRDefault="009660C6" w:rsidP="00620D19">
      <w:pPr>
        <w:tabs>
          <w:tab w:val="left" w:pos="2040"/>
        </w:tabs>
        <w:rPr>
          <w:rFonts w:ascii="Times New Roman" w:eastAsia="Calibri" w:hAnsi="Times New Roman" w:cs="Times New Roman"/>
          <w:b/>
        </w:rPr>
      </w:pPr>
    </w:p>
    <w:p w14:paraId="690BA6F6" w14:textId="6A5BBEAC" w:rsidR="009660C6" w:rsidRDefault="009660C6" w:rsidP="00620D19">
      <w:pPr>
        <w:tabs>
          <w:tab w:val="left" w:pos="2040"/>
        </w:tabs>
        <w:rPr>
          <w:rFonts w:ascii="Times New Roman" w:eastAsia="Calibri" w:hAnsi="Times New Roman" w:cs="Times New Roman"/>
          <w:b/>
        </w:rPr>
      </w:pPr>
    </w:p>
    <w:p w14:paraId="5CAEC1F8" w14:textId="77777777" w:rsidR="009660C6" w:rsidRDefault="009660C6"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lastRenderedPageBreak/>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4716BE">
      <w:footerReference w:type="default" r:id="rId16"/>
      <w:headerReference w:type="first" r:id="rId17"/>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A570" w14:textId="77777777" w:rsidR="00811B33" w:rsidRDefault="00811B33" w:rsidP="0056094F">
      <w:pPr>
        <w:spacing w:before="0" w:after="0"/>
      </w:pPr>
      <w:r>
        <w:separator/>
      </w:r>
    </w:p>
  </w:endnote>
  <w:endnote w:type="continuationSeparator" w:id="0">
    <w:p w14:paraId="7A434220" w14:textId="77777777" w:rsidR="00811B33" w:rsidRDefault="00811B33" w:rsidP="0056094F">
      <w:pPr>
        <w:spacing w:before="0" w:after="0"/>
      </w:pPr>
      <w:r>
        <w:continuationSeparator/>
      </w:r>
    </w:p>
  </w:endnote>
  <w:endnote w:type="continuationNotice" w:id="1">
    <w:p w14:paraId="78D84D23" w14:textId="77777777" w:rsidR="00811B33" w:rsidRDefault="00811B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BB6" w14:textId="77777777" w:rsidR="005D3504" w:rsidRDefault="005D3504">
    <w:pPr>
      <w:pStyle w:val="Podnoje"/>
      <w:jc w:val="center"/>
      <w:rPr>
        <w:rFonts w:ascii="Times New Roman" w:hAnsi="Times New Roman" w:cs="Times New Roman"/>
        <w:sz w:val="18"/>
        <w:szCs w:val="18"/>
      </w:rPr>
    </w:pPr>
  </w:p>
  <w:p w14:paraId="5789A5E2" w14:textId="235634CF"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660C6">
          <w:rPr>
            <w:rFonts w:ascii="Times New Roman" w:hAnsi="Times New Roman" w:cs="Times New Roman"/>
            <w:noProof/>
            <w:sz w:val="18"/>
            <w:szCs w:val="18"/>
          </w:rPr>
          <w:t>20</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51BF" w14:textId="77777777" w:rsidR="00811B33" w:rsidRDefault="00811B33" w:rsidP="0056094F">
      <w:pPr>
        <w:spacing w:before="0" w:after="0"/>
      </w:pPr>
      <w:r>
        <w:separator/>
      </w:r>
    </w:p>
  </w:footnote>
  <w:footnote w:type="continuationSeparator" w:id="0">
    <w:p w14:paraId="53120971" w14:textId="77777777" w:rsidR="00811B33" w:rsidRDefault="00811B33" w:rsidP="0056094F">
      <w:pPr>
        <w:spacing w:before="0" w:after="0"/>
      </w:pPr>
      <w:r>
        <w:continuationSeparator/>
      </w:r>
    </w:p>
  </w:footnote>
  <w:footnote w:type="continuationNotice" w:id="1">
    <w:p w14:paraId="24673402" w14:textId="77777777" w:rsidR="00811B33" w:rsidRDefault="00811B33">
      <w:pPr>
        <w:spacing w:before="0" w:after="0"/>
      </w:pPr>
    </w:p>
  </w:footnote>
  <w:footnote w:id="2">
    <w:p w14:paraId="64E60057" w14:textId="77777777" w:rsidR="005D3504" w:rsidRPr="009660C6" w:rsidRDefault="005D3504" w:rsidP="00D0103E">
      <w:pPr>
        <w:pStyle w:val="Tekstfusnote"/>
        <w:jc w:val="both"/>
        <w:rPr>
          <w:sz w:val="18"/>
          <w:szCs w:val="18"/>
          <w:highlight w:val="yellow"/>
          <w:lang w:val="hr-HR"/>
        </w:rPr>
      </w:pPr>
      <w:r w:rsidRPr="009660C6">
        <w:rPr>
          <w:rStyle w:val="Referencafusnote"/>
          <w:sz w:val="18"/>
          <w:szCs w:val="18"/>
        </w:rPr>
        <w:footnoteRef/>
      </w:r>
      <w:r w:rsidRPr="009660C6">
        <w:rPr>
          <w:sz w:val="18"/>
          <w:szCs w:val="18"/>
        </w:rPr>
        <w:t xml:space="preserve"> </w:t>
      </w:r>
      <w:r w:rsidRPr="009660C6">
        <w:rPr>
          <w:sz w:val="18"/>
          <w:szCs w:val="18"/>
          <w:lang w:val="hr-HR"/>
        </w:rPr>
        <w:t>Označava Europsku uniju. U navedenom kontekstu u tekstu se rabe još i termini Europska unija i EU.</w:t>
      </w:r>
    </w:p>
  </w:footnote>
  <w:footnote w:id="3">
    <w:p w14:paraId="5473BF90" w14:textId="77777777" w:rsidR="005D3504" w:rsidRPr="009660C6" w:rsidRDefault="005D3504" w:rsidP="00D0103E">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Konvencija o zaštiti financijskih interesa Europskih zajednica (SL C 316, 27.11.1995.)</w:t>
      </w:r>
    </w:p>
  </w:footnote>
  <w:footnote w:id="4">
    <w:p w14:paraId="7788E993" w14:textId="77777777" w:rsidR="005D3504" w:rsidRPr="009660C6" w:rsidRDefault="005D3504" w:rsidP="00C4593D">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Gospodarski subjekti koje su obvezni primjenjivati Zakon o javnoj nabavi i podzakonske akte donesene na temelju tog zakona. </w:t>
      </w:r>
    </w:p>
  </w:footnote>
  <w:footnote w:id="5">
    <w:p w14:paraId="5A75ACAE" w14:textId="208B502E" w:rsidR="005D3504" w:rsidRDefault="005D3504" w:rsidP="009660C6">
      <w:pPr>
        <w:pStyle w:val="HTMLunaprijedoblikovano"/>
        <w:shd w:val="clear" w:color="auto" w:fill="FFFFFF"/>
        <w:jc w:val="both"/>
        <w:rPr>
          <w:rFonts w:ascii="Times New Roman" w:eastAsia="Times New Roman" w:hAnsi="Times New Roman" w:cs="Times New Roman"/>
          <w:color w:val="212121"/>
          <w:sz w:val="18"/>
          <w:szCs w:val="18"/>
          <w:lang w:val="en-GB" w:eastAsia="hr-HR"/>
        </w:rPr>
      </w:pPr>
      <w:r w:rsidRPr="009660C6">
        <w:rPr>
          <w:rStyle w:val="Referencafusnote"/>
          <w:rFonts w:ascii="Times New Roman" w:hAnsi="Times New Roman" w:cs="Times New Roman"/>
          <w:sz w:val="18"/>
          <w:szCs w:val="18"/>
        </w:rPr>
        <w:footnoteRef/>
      </w:r>
      <w:r w:rsidRPr="009660C6">
        <w:rPr>
          <w:rFonts w:ascii="Times New Roman" w:hAnsi="Times New Roman" w:cs="Times New Roman"/>
          <w:sz w:val="18"/>
          <w:szCs w:val="18"/>
        </w:rPr>
        <w:t xml:space="preserve"> </w:t>
      </w:r>
      <w:r w:rsidRPr="009660C6">
        <w:rPr>
          <w:rFonts w:ascii="Times New Roman" w:eastAsia="Times New Roman" w:hAnsi="Times New Roman" w:cs="Times New Roman"/>
          <w:color w:val="212121"/>
          <w:sz w:val="18"/>
          <w:szCs w:val="18"/>
          <w:lang w:val="en-GB" w:eastAsia="hr-HR"/>
        </w:rPr>
        <w:t>Commission Interpretative Communication on the Community law applicable to contract awards not or not fully subject to the provisions of the Public Procurement Directives, (2006/C 179/02).</w:t>
      </w:r>
    </w:p>
    <w:p w14:paraId="1B8FB24E" w14:textId="77777777" w:rsidR="009660C6" w:rsidRPr="009660C6" w:rsidRDefault="009660C6" w:rsidP="009660C6">
      <w:pPr>
        <w:pStyle w:val="HTMLunaprijedoblikovano"/>
        <w:shd w:val="clear" w:color="auto" w:fill="FFFFFF"/>
        <w:jc w:val="both"/>
        <w:rPr>
          <w:rFonts w:ascii="Times New Roman" w:eastAsia="Times New Roman" w:hAnsi="Times New Roman" w:cs="Times New Roman"/>
          <w:color w:val="212121"/>
          <w:sz w:val="18"/>
          <w:szCs w:val="18"/>
          <w:lang w:eastAsia="hr-HR"/>
        </w:rPr>
      </w:pPr>
    </w:p>
  </w:footnote>
  <w:footnote w:id="6">
    <w:p w14:paraId="6F6E67D9" w14:textId="5EB5DEAD" w:rsidR="005D3504" w:rsidRPr="00DF2800" w:rsidRDefault="005D3504" w:rsidP="009660C6">
      <w:pPr>
        <w:pStyle w:val="Tekstfusnote"/>
        <w:jc w:val="both"/>
        <w:rPr>
          <w:lang w:val="hr-HR"/>
        </w:rPr>
      </w:pPr>
      <w:r w:rsidRPr="009660C6">
        <w:rPr>
          <w:rStyle w:val="Referencafusnote"/>
          <w:sz w:val="18"/>
          <w:szCs w:val="18"/>
        </w:rPr>
        <w:footnoteRef/>
      </w:r>
      <w:r w:rsidRPr="009660C6">
        <w:rPr>
          <w:sz w:val="18"/>
          <w:szCs w:val="18"/>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7">
    <w:p w14:paraId="57F229BB" w14:textId="5B3CE3EB" w:rsidR="005D3504" w:rsidRPr="009660C6" w:rsidRDefault="005D3504" w:rsidP="009660C6">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9660C6" w:rsidRDefault="005D3504" w:rsidP="000234ED">
      <w:pPr>
        <w:pStyle w:val="Tekstfusnote"/>
        <w:jc w:val="both"/>
        <w:rPr>
          <w:sz w:val="18"/>
          <w:szCs w:val="18"/>
          <w:lang w:val="hr-HR"/>
        </w:rPr>
      </w:pPr>
      <w:r w:rsidRPr="009660C6">
        <w:rPr>
          <w:rStyle w:val="Referencafusnote"/>
          <w:sz w:val="18"/>
          <w:szCs w:val="18"/>
          <w:lang w:val="hr-HR"/>
        </w:rPr>
        <w:footnoteRef/>
      </w:r>
      <w:r w:rsidRPr="009660C6">
        <w:rPr>
          <w:sz w:val="18"/>
          <w:szCs w:val="18"/>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9660C6" w:rsidRDefault="005D3504" w:rsidP="000A3444">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9660C6" w:rsidRDefault="005D3504" w:rsidP="00460D22">
      <w:pPr>
        <w:pStyle w:val="Tekstfusnote"/>
        <w:jc w:val="both"/>
        <w:rPr>
          <w:sz w:val="18"/>
          <w:szCs w:val="18"/>
          <w:lang w:val="hr-HR"/>
        </w:rPr>
      </w:pPr>
      <w:r w:rsidRPr="009660C6">
        <w:rPr>
          <w:rStyle w:val="Referencafusnote"/>
          <w:sz w:val="18"/>
          <w:szCs w:val="18"/>
          <w:lang w:val="hr-HR"/>
        </w:rPr>
        <w:footnoteRef/>
      </w:r>
      <w:r w:rsidRPr="009660C6">
        <w:rPr>
          <w:sz w:val="18"/>
          <w:szCs w:val="18"/>
          <w:lang w:val="hr-HR"/>
        </w:rPr>
        <w:t xml:space="preserve"> Međutim, izmjene elemenata ugovora ne smatraju se nepravilnostima koje podliježu financijskoj korekciji kada se poštuju slijedeći uvjeti:</w:t>
      </w:r>
    </w:p>
    <w:p w14:paraId="65124051" w14:textId="77777777" w:rsidR="005D3504" w:rsidRPr="009660C6" w:rsidRDefault="005D3504" w:rsidP="00460D22">
      <w:pPr>
        <w:pStyle w:val="Tekstfusnote"/>
        <w:jc w:val="both"/>
        <w:rPr>
          <w:sz w:val="18"/>
          <w:szCs w:val="18"/>
          <w:lang w:val="hr-HR"/>
        </w:rPr>
      </w:pPr>
      <w:r w:rsidRPr="009660C6">
        <w:rPr>
          <w:sz w:val="18"/>
          <w:szCs w:val="18"/>
          <w:lang w:val="hr-HR"/>
        </w:rPr>
        <w:t>a) vrijednost izmjena je ispod sljedećih vrijednosti:</w:t>
      </w:r>
    </w:p>
    <w:p w14:paraId="083A3D91" w14:textId="77777777" w:rsidR="005D3504" w:rsidRPr="009660C6" w:rsidRDefault="005D3504" w:rsidP="00460D22">
      <w:pPr>
        <w:pStyle w:val="Tekstfusnote"/>
        <w:jc w:val="both"/>
        <w:rPr>
          <w:sz w:val="18"/>
          <w:szCs w:val="18"/>
          <w:lang w:val="hr-HR"/>
        </w:rPr>
      </w:pPr>
      <w:r w:rsidRPr="009660C6">
        <w:rPr>
          <w:sz w:val="18"/>
          <w:szCs w:val="18"/>
          <w:lang w:val="hr-HR"/>
        </w:rPr>
        <w:t>(i) pragovi utvrđeni u članku 4. Direktive 2014/24 / EU; i</w:t>
      </w:r>
    </w:p>
    <w:p w14:paraId="3D58AADC" w14:textId="77777777" w:rsidR="005D3504" w:rsidRPr="009660C6" w:rsidRDefault="005D3504" w:rsidP="00460D22">
      <w:pPr>
        <w:pStyle w:val="Tekstfusnote"/>
        <w:jc w:val="both"/>
        <w:rPr>
          <w:sz w:val="18"/>
          <w:szCs w:val="18"/>
          <w:lang w:val="hr-HR"/>
        </w:rPr>
      </w:pPr>
      <w:r w:rsidRPr="009660C6">
        <w:rPr>
          <w:sz w:val="18"/>
          <w:szCs w:val="18"/>
          <w:lang w:val="hr-HR"/>
        </w:rPr>
        <w:t>(ii) 10% početne vrijednosti ugovora za uslugu i robe i ispod 15% početne vrijednosti ugovora o radovima, i</w:t>
      </w:r>
    </w:p>
    <w:p w14:paraId="0D9F82D5" w14:textId="77777777" w:rsidR="005D3504" w:rsidRPr="009660C6" w:rsidRDefault="005D3504" w:rsidP="00460D22">
      <w:pPr>
        <w:pStyle w:val="Tekstfusnote"/>
        <w:jc w:val="both"/>
        <w:rPr>
          <w:sz w:val="18"/>
          <w:szCs w:val="18"/>
        </w:rPr>
      </w:pPr>
      <w:r w:rsidRPr="009660C6">
        <w:rPr>
          <w:sz w:val="18"/>
          <w:szCs w:val="18"/>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9660C6">
        <w:rPr>
          <w:rStyle w:val="Referencafusnote"/>
          <w:rFonts w:ascii="Times New Roman" w:hAnsi="Times New Roman" w:cs="Times New Roman"/>
          <w:color w:val="44546A"/>
          <w:sz w:val="18"/>
          <w:szCs w:val="18"/>
        </w:rPr>
        <w:footnoteRef/>
      </w:r>
      <w:r w:rsidRPr="009660C6">
        <w:rPr>
          <w:rFonts w:ascii="Times New Roman" w:hAnsi="Times New Roman" w:cs="Times New Roman"/>
          <w:color w:val="44546A"/>
          <w:sz w:val="18"/>
          <w:szCs w:val="18"/>
        </w:rPr>
        <w:t xml:space="preserve"> </w:t>
      </w:r>
      <w:r w:rsidRPr="009660C6">
        <w:rPr>
          <w:rFonts w:ascii="Times New Roman" w:hAnsi="Times New Roman" w:cs="Times New Roman"/>
          <w:sz w:val="18"/>
          <w:szCs w:val="18"/>
        </w:rPr>
        <w:t>Ograničeni stupanj fleksibilnosti se može primijeniti na izmjene ugovora nakon</w:t>
      </w:r>
      <w:r w:rsidRPr="009660C6">
        <w:rPr>
          <w:rFonts w:ascii="Times New Roman" w:hAnsi="Times New Roman"/>
          <w:sz w:val="18"/>
          <w:szCs w:val="18"/>
        </w:rPr>
        <w:t xml:space="preserve"> dodjele čak i ako takva mogućnost nije predviđena i ako relevantna detaljna pravila za implementaciju nisu predviđena u pozivu na dostavu ponuda i natječajnoj dokumentaciji na jasan i jednoznačan način.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9660C6" w:rsidRDefault="005D3504" w:rsidP="00620D19">
      <w:pPr>
        <w:pStyle w:val="Tekstfusnote"/>
        <w:rPr>
          <w:sz w:val="18"/>
          <w:szCs w:val="18"/>
          <w:lang w:val="hr-HR"/>
        </w:rPr>
      </w:pPr>
      <w:r w:rsidRPr="009660C6">
        <w:rPr>
          <w:rStyle w:val="Referencafusnote"/>
          <w:sz w:val="18"/>
          <w:szCs w:val="18"/>
          <w:lang w:val="hr-HR"/>
        </w:rPr>
        <w:footnoteRef/>
      </w:r>
      <w:r w:rsidRPr="009660C6">
        <w:rPr>
          <w:sz w:val="18"/>
          <w:szCs w:val="18"/>
          <w:lang w:val="hr-HR"/>
        </w:rPr>
        <w:t xml:space="preserve"> Čl. 39. ZJN-a dužni su primjenjivati bez obzira na procijenjenu vrijednost nabave.</w:t>
      </w:r>
    </w:p>
  </w:footnote>
  <w:footnote w:id="13">
    <w:p w14:paraId="2E586BF6" w14:textId="77777777" w:rsidR="005D3504" w:rsidRPr="009660C6" w:rsidRDefault="005D3504" w:rsidP="009660C6">
      <w:pPr>
        <w:pStyle w:val="Tekstfusnote"/>
        <w:jc w:val="both"/>
        <w:rPr>
          <w:sz w:val="18"/>
          <w:szCs w:val="18"/>
        </w:rPr>
      </w:pPr>
      <w:r w:rsidRPr="009660C6">
        <w:rPr>
          <w:rStyle w:val="Referencafusnote"/>
          <w:sz w:val="18"/>
          <w:szCs w:val="18"/>
          <w:lang w:val="hr-HR"/>
        </w:rPr>
        <w:footnoteRef/>
      </w:r>
      <w:r w:rsidRPr="009660C6">
        <w:rPr>
          <w:sz w:val="18"/>
          <w:szCs w:val="18"/>
          <w:lang w:val="hr-HR"/>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14">
    <w:p w14:paraId="11328138" w14:textId="77777777" w:rsidR="005D3504" w:rsidRPr="009660C6" w:rsidRDefault="005D3504" w:rsidP="00620D19">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Pr="009660C6" w:rsidRDefault="005D3504" w:rsidP="00620D19">
      <w:pPr>
        <w:tabs>
          <w:tab w:val="left" w:pos="708"/>
        </w:tabs>
        <w:autoSpaceDE w:val="0"/>
        <w:autoSpaceDN w:val="0"/>
        <w:adjustRightInd w:val="0"/>
        <w:jc w:val="both"/>
        <w:rPr>
          <w:rFonts w:ascii="Times New Roman" w:hAnsi="Times New Roman"/>
          <w:color w:val="44546A"/>
          <w:sz w:val="18"/>
          <w:szCs w:val="18"/>
          <w:lang w:val="lv-LV"/>
        </w:rPr>
      </w:pPr>
      <w:r w:rsidRPr="009660C6">
        <w:rPr>
          <w:rStyle w:val="Referencafusnote"/>
          <w:color w:val="44546A"/>
          <w:sz w:val="18"/>
          <w:szCs w:val="18"/>
        </w:rPr>
        <w:footnoteRef/>
      </w:r>
      <w:r w:rsidRPr="009660C6">
        <w:rPr>
          <w:color w:val="44546A"/>
          <w:sz w:val="18"/>
          <w:szCs w:val="18"/>
        </w:rPr>
        <w:t xml:space="preserve"> </w:t>
      </w:r>
      <w:r w:rsidRPr="009660C6">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9660C6">
        <w:rPr>
          <w:rFonts w:ascii="Times New Roman" w:hAnsi="Times New Roman"/>
          <w:color w:val="44546A"/>
          <w:sz w:val="18"/>
          <w:szCs w:val="18"/>
          <w:lang w:val="en-US"/>
        </w:rPr>
        <w:t xml:space="preserve"> </w:t>
      </w:r>
    </w:p>
  </w:footnote>
  <w:footnote w:id="16">
    <w:p w14:paraId="1D1A1D09" w14:textId="77777777" w:rsidR="005D3504" w:rsidRPr="009660C6" w:rsidRDefault="005D3504" w:rsidP="00620D19">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7D88" w14:textId="72F02CDF" w:rsidR="004716BE" w:rsidRDefault="003D4FB1">
    <w:pPr>
      <w:pStyle w:val="Zaglavlje"/>
    </w:pPr>
    <w:r>
      <w:rPr>
        <w:rFonts w:ascii="Times New Roman" w:eastAsiaTheme="majorEastAsia" w:hAnsi="Times New Roman" w:cs="Times New Roman"/>
        <w:b/>
        <w:bCs/>
        <w:noProo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4B1"/>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6C7D"/>
    <w:rsid w:val="003C7235"/>
    <w:rsid w:val="003C7B79"/>
    <w:rsid w:val="003C7BC9"/>
    <w:rsid w:val="003D0A50"/>
    <w:rsid w:val="003D0AC4"/>
    <w:rsid w:val="003D13CE"/>
    <w:rsid w:val="003D1C21"/>
    <w:rsid w:val="003D244B"/>
    <w:rsid w:val="003D2A2E"/>
    <w:rsid w:val="003D43CA"/>
    <w:rsid w:val="003D464A"/>
    <w:rsid w:val="003D4D50"/>
    <w:rsid w:val="003D4FB1"/>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16BE"/>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04B"/>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1B33"/>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97ABB"/>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156A"/>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660C6"/>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97C14"/>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E74BD"/>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6C4F"/>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693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5A"/>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11A"/>
    <w:rsid w:val="00C63BA8"/>
    <w:rsid w:val="00C6454A"/>
    <w:rsid w:val="00C64972"/>
    <w:rsid w:val="00C64D4D"/>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095"/>
    <w:rsid w:val="00F22B0A"/>
    <w:rsid w:val="00F24640"/>
    <w:rsid w:val="00F25482"/>
    <w:rsid w:val="00F26EC5"/>
    <w:rsid w:val="00F27F3C"/>
    <w:rsid w:val="00F3153A"/>
    <w:rsid w:val="00F31660"/>
    <w:rsid w:val="00F3228D"/>
    <w:rsid w:val="00F328B7"/>
    <w:rsid w:val="00F3429E"/>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unhideWhenUsed/>
    <w:rsid w:val="00793A2F"/>
    <w:rPr>
      <w:rFonts w:ascii="Times New Roman" w:hAnsi="Times New Roman" w:cs="Times New Roman"/>
      <w:sz w:val="24"/>
      <w:szCs w:val="24"/>
    </w:rPr>
  </w:style>
  <w:style w:type="paragraph" w:styleId="Naslov">
    <w:name w:val="Title"/>
    <w:basedOn w:val="Normal"/>
    <w:next w:val="Normal"/>
    <w:link w:val="NaslovChar"/>
    <w:uiPriority w:val="10"/>
    <w:qFormat/>
    <w:rsid w:val="00BE505A"/>
    <w:pPr>
      <w:pBdr>
        <w:bottom w:val="single" w:sz="4" w:space="1" w:color="auto"/>
      </w:pBdr>
      <w:spacing w:before="0" w:after="200"/>
      <w:contextualSpacing/>
    </w:pPr>
    <w:rPr>
      <w:rFonts w:asciiTheme="majorHAnsi" w:eastAsiaTheme="majorEastAsia" w:hAnsiTheme="majorHAnsi" w:cstheme="majorBidi"/>
      <w:noProof/>
      <w:spacing w:val="5"/>
      <w:sz w:val="52"/>
      <w:szCs w:val="52"/>
    </w:rPr>
  </w:style>
  <w:style w:type="character" w:customStyle="1" w:styleId="NaslovChar">
    <w:name w:val="Naslov Char"/>
    <w:basedOn w:val="Zadanifontodlomka"/>
    <w:link w:val="Naslov"/>
    <w:uiPriority w:val="10"/>
    <w:rsid w:val="00BE505A"/>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BE50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lanoporavka.gov.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FF08C0-CBEA-4F23-B25E-928CA6C85E60}">
  <ds:schemaRefs>
    <ds:schemaRef ds:uri="http://schemas.microsoft.com/sharepoint/v3/contenttype/forms"/>
  </ds:schemaRefs>
</ds:datastoreItem>
</file>

<file path=customXml/itemProps2.xml><?xml version="1.0" encoding="utf-8"?>
<ds:datastoreItem xmlns:ds="http://schemas.openxmlformats.org/officeDocument/2006/customXml" ds:itemID="{0E683A27-F6DD-4191-A2FE-F2F4143B6B85}">
  <ds:schemaRefs>
    <ds:schemaRef ds:uri="http://schemas.openxmlformats.org/officeDocument/2006/bibliography"/>
  </ds:schemaRefs>
</ds:datastoreItem>
</file>

<file path=customXml/itemProps3.xml><?xml version="1.0" encoding="utf-8"?>
<ds:datastoreItem xmlns:ds="http://schemas.openxmlformats.org/officeDocument/2006/customXml" ds:itemID="{8B4EE49B-9A11-4CC2-B0DB-6A201E3C116F}"/>
</file>

<file path=customXml/itemProps4.xml><?xml version="1.0" encoding="utf-8"?>
<ds:datastoreItem xmlns:ds="http://schemas.openxmlformats.org/officeDocument/2006/customXml" ds:itemID="{883FB470-F59E-46D2-8587-5FCE662B5ED3}">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10289</Words>
  <Characters>58652</Characters>
  <Application>Microsoft Office Word</Application>
  <DocSecurity>0</DocSecurity>
  <Lines>488</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