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F" w:rsidRPr="00036CDF" w:rsidRDefault="00036CDF" w:rsidP="00036CDF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32"/>
          <w:szCs w:val="32"/>
          <w:lang w:eastAsia="en-US"/>
        </w:rPr>
      </w:pPr>
      <w:bookmarkStart w:id="0" w:name="_Toc70595767"/>
      <w:r w:rsidRPr="00036CD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C1.3. Unaprjeđenje vodnog gospodarstva i gospodarenja otpadom</w:t>
      </w:r>
      <w:bookmarkEnd w:id="0"/>
      <w:r w:rsidRPr="00036CD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</w:p>
    <w:p w:rsidR="006A7967" w:rsidRPr="00036CDF" w:rsidRDefault="006A7967" w:rsidP="00036CDF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  <w:r w:rsidRPr="00036CDF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 xml:space="preserve">C1.3. R1 Provedba programa vodnog gospodarstva  </w:t>
      </w:r>
    </w:p>
    <w:p w:rsidR="000C0962" w:rsidRDefault="000C0962" w:rsidP="000C0962">
      <w:pPr>
        <w:spacing w:after="160" w:line="259" w:lineRule="auto"/>
        <w:jc w:val="left"/>
        <w:rPr>
          <w:rFonts w:ascii="Vollkorn" w:eastAsiaTheme="majorEastAsia" w:hAnsi="Vollkorn" w:cstheme="majorBidi"/>
          <w:b/>
          <w:color w:val="1F4D78" w:themeColor="accent1" w:themeShade="7F"/>
          <w:sz w:val="24"/>
          <w:szCs w:val="24"/>
        </w:rPr>
      </w:pPr>
      <w:r w:rsidRPr="004E0AED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 xml:space="preserve">C1.3. R1-I3 Program smanjenja rizika od katastrofa u sektoru upravljanja vodama </w:t>
      </w:r>
    </w:p>
    <w:p w:rsidR="0032323A" w:rsidRDefault="000C0962" w:rsidP="002305BA">
      <w:pPr>
        <w:rPr>
          <w:rFonts w:ascii="Vollkorn" w:hAnsi="Vollkorn" w:cs="Arial"/>
          <w:noProof/>
          <w:color w:val="000000" w:themeColor="text1"/>
        </w:rPr>
      </w:pPr>
      <w:r w:rsidRPr="000C0962">
        <w:rPr>
          <w:rFonts w:ascii="Vollkorn" w:hAnsi="Vollkorn" w:cs="Arial"/>
          <w:noProof/>
          <w:color w:val="000000" w:themeColor="text1"/>
        </w:rPr>
        <w:t>Cilj ovog programa smanjenja rizika od katastrofa jest provedba mjera zaštite od štetnih utjecaja vode, smanjujući na taj način rizik od poplava za stanovništvo, dok će pak mjere u kontekstu revitalizacije sustava svježe vode smanjiti rizik od poplave za stanovništvo, povezati napuštene rukavce i stvoriti sekundarna vodena staništa na rijekama, ukloniti invazivne vrste, revitalizirati korita stajaćica uspostavljanjem povoljnog vodnog režima i ukloniti nataložene nanose.</w:t>
      </w:r>
    </w:p>
    <w:p w:rsidR="006F6DBE" w:rsidRDefault="006F6DBE">
      <w:pPr>
        <w:spacing w:after="160" w:line="259" w:lineRule="auto"/>
        <w:jc w:val="left"/>
        <w:rPr>
          <w:rFonts w:ascii="Arial Narrow" w:hAnsi="Arial Narrow" w:cs="Arial"/>
          <w:b/>
          <w:bCs/>
          <w:szCs w:val="20"/>
        </w:rPr>
      </w:pPr>
      <w:r>
        <w:rPr>
          <w:rFonts w:ascii="Arial Narrow" w:hAnsi="Arial Narrow" w:cs="Arial"/>
          <w:b/>
          <w:bCs/>
          <w:szCs w:val="20"/>
        </w:rPr>
        <w:br w:type="page"/>
      </w:r>
    </w:p>
    <w:p w:rsidR="000C0962" w:rsidRPr="00E26C8B" w:rsidRDefault="000C0962" w:rsidP="000C096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 1</w:t>
      </w:r>
    </w:p>
    <w:p w:rsidR="005359C4" w:rsidRPr="00E26C8B" w:rsidRDefault="005359C4" w:rsidP="005359C4">
      <w:pPr>
        <w:rPr>
          <w:rFonts w:ascii="Arial Narrow" w:hAnsi="Arial Narrow" w:cs="Arial"/>
          <w:b/>
          <w:bCs/>
          <w:szCs w:val="20"/>
        </w:rPr>
      </w:pPr>
    </w:p>
    <w:tbl>
      <w:tblPr>
        <w:tblStyle w:val="TableGrid11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1698"/>
        <w:gridCol w:w="1699"/>
        <w:gridCol w:w="851"/>
        <w:gridCol w:w="850"/>
        <w:gridCol w:w="3918"/>
        <w:gridCol w:w="3918"/>
      </w:tblGrid>
      <w:tr w:rsidR="000C0962" w:rsidRPr="004E0AED" w:rsidTr="00063CAE">
        <w:trPr>
          <w:trHeight w:val="839"/>
        </w:trPr>
        <w:tc>
          <w:tcPr>
            <w:tcW w:w="3397" w:type="dxa"/>
            <w:gridSpan w:val="2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Molimo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od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niže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navedenih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“</w:t>
            </w:r>
          </w:p>
        </w:tc>
        <w:tc>
          <w:tcPr>
            <w:tcW w:w="851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3918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odabrano</w:t>
            </w:r>
            <w:proofErr w:type="spellEnd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„Ne“</w:t>
            </w:r>
          </w:p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sukladnosti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projektnog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prijedloga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navedenim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načelima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prijavitelj</w:t>
            </w:r>
            <w:proofErr w:type="spellEnd"/>
            <w:r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C0962" w:rsidRPr="004E0AED" w:rsidTr="00063CAE">
        <w:tc>
          <w:tcPr>
            <w:tcW w:w="3397" w:type="dxa"/>
            <w:gridSpan w:val="2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Aktivnost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podržava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ima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utjecaje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18" w:type="dxa"/>
          </w:tcPr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  <w:tr w:rsidR="000C0962" w:rsidRPr="004E0AED" w:rsidTr="00063CAE">
        <w:trPr>
          <w:trHeight w:val="578"/>
        </w:trPr>
        <w:tc>
          <w:tcPr>
            <w:tcW w:w="1698" w:type="dxa"/>
            <w:vMerge w:val="restart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Smanjenje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rizika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štetnih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od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poplava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prati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podrška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smatra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usklađenom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načelom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</w:t>
            </w:r>
            <w:proofErr w:type="spellEnd"/>
            <w:proofErr w:type="gram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18" w:type="dxa"/>
          </w:tcPr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  <w:tr w:rsidR="000C0962" w:rsidRPr="004E0AED" w:rsidTr="00063CAE">
        <w:trPr>
          <w:trHeight w:val="577"/>
        </w:trPr>
        <w:tc>
          <w:tcPr>
            <w:tcW w:w="1698" w:type="dxa"/>
            <w:vMerge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Revitalizacija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sustava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svježe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prirodnu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baštinu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resurse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zelenu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plavu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infrastrukturu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prati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podrška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od 40%. </w:t>
            </w:r>
          </w:p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nema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nikakav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štetan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klimatski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učinke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18" w:type="dxa"/>
          </w:tcPr>
          <w:p w:rsidR="000C0962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</w:pPr>
          </w:p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  <w:tr w:rsidR="000C0962" w:rsidRPr="004E0AED" w:rsidTr="00063CAE">
        <w:tc>
          <w:tcPr>
            <w:tcW w:w="3397" w:type="dxa"/>
            <w:gridSpan w:val="2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prati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podrška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smatra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usklađenom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načelom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</w:t>
            </w:r>
            <w:proofErr w:type="spellEnd"/>
            <w:proofErr w:type="gram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18" w:type="dxa"/>
          </w:tcPr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  <w:tr w:rsidR="000C0962" w:rsidRPr="004E0AED" w:rsidTr="00063CAE">
        <w:tc>
          <w:tcPr>
            <w:tcW w:w="3397" w:type="dxa"/>
            <w:gridSpan w:val="2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Kružno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gospodarstvo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recikliranje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Aktivnost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podržava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ima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učinke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18" w:type="dxa"/>
          </w:tcPr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i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/>
                <w:color w:val="000000" w:themeColor="text1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  <w:tr w:rsidR="000C0962" w:rsidRPr="004E0AED" w:rsidTr="00063CAE">
        <w:trPr>
          <w:trHeight w:val="320"/>
        </w:trPr>
        <w:tc>
          <w:tcPr>
            <w:tcW w:w="3397" w:type="dxa"/>
            <w:gridSpan w:val="2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zraka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tla</w:t>
            </w:r>
            <w:proofErr w:type="spellEnd"/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</w:tr>
      <w:tr w:rsidR="000C0962" w:rsidRPr="004E0AED" w:rsidTr="00063CAE">
        <w:tc>
          <w:tcPr>
            <w:tcW w:w="3397" w:type="dxa"/>
            <w:gridSpan w:val="2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851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C0962" w:rsidRPr="004E0AED" w:rsidRDefault="000C0962" w:rsidP="00B7591E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</w:tcPr>
          <w:p w:rsidR="000C0962" w:rsidRPr="004E0AED" w:rsidRDefault="000C0962" w:rsidP="00B7591E">
            <w:pPr>
              <w:spacing w:after="0" w:line="259" w:lineRule="auto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</w:tr>
    </w:tbl>
    <w:p w:rsidR="006F6DBE" w:rsidRDefault="006F6DBE"/>
    <w:p w:rsidR="000C0962" w:rsidRDefault="000C0962" w:rsidP="000C0962">
      <w:pPr>
        <w:spacing w:after="160" w:line="259" w:lineRule="auto"/>
        <w:jc w:val="left"/>
      </w:pPr>
    </w:p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Pr="000C0962" w:rsidRDefault="000C0962" w:rsidP="000C0962"/>
    <w:p w:rsidR="000C0962" w:rsidRDefault="000C0962" w:rsidP="000C0962"/>
    <w:p w:rsidR="002305BA" w:rsidRDefault="000C0962" w:rsidP="000C0962">
      <w:pPr>
        <w:tabs>
          <w:tab w:val="left" w:pos="1140"/>
        </w:tabs>
      </w:pPr>
      <w:r>
        <w:tab/>
      </w:r>
    </w:p>
    <w:p w:rsidR="000C0962" w:rsidRPr="00E26C8B" w:rsidRDefault="000C0962" w:rsidP="000C096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TableGrid2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970"/>
        <w:gridCol w:w="810"/>
        <w:gridCol w:w="5118"/>
        <w:gridCol w:w="5096"/>
      </w:tblGrid>
      <w:tr w:rsidR="000C0962" w:rsidRPr="004E0AED" w:rsidTr="000C0962">
        <w:tc>
          <w:tcPr>
            <w:tcW w:w="2970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 w:cstheme="majorHAnsi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18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5096" w:type="dxa"/>
            <w:shd w:val="clear" w:color="auto" w:fill="2C398B"/>
          </w:tcPr>
          <w:p w:rsidR="000C0962" w:rsidRPr="004E0AED" w:rsidRDefault="000C0962" w:rsidP="00B7591E">
            <w:pPr>
              <w:spacing w:after="160" w:line="259" w:lineRule="auto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0C0962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(ispunjava prijavitelj)</w:t>
            </w:r>
          </w:p>
        </w:tc>
      </w:tr>
      <w:tr w:rsidR="000C0962" w:rsidRPr="004E0AED" w:rsidTr="000C0962">
        <w:tc>
          <w:tcPr>
            <w:tcW w:w="2970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(4) u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0C0962" w:rsidRPr="004E0AED" w:rsidRDefault="000C0962" w:rsidP="00B7591E">
            <w:pPr>
              <w:tabs>
                <w:tab w:val="left" w:pos="311"/>
              </w:tabs>
              <w:spacing w:after="0" w:line="259" w:lineRule="auto"/>
              <w:jc w:val="center"/>
              <w:rPr>
                <w:rFonts w:ascii="Vollkorn" w:hAnsi="Vollkorn" w:cs="Arial"/>
                <w:sz w:val="18"/>
                <w:szCs w:val="18"/>
              </w:rPr>
            </w:pPr>
            <w:r w:rsidRPr="004E0AED">
              <w:rPr>
                <w:rFonts w:ascii="Vollkorn" w:hAnsi="Vollkorn" w:cs="Arial"/>
                <w:sz w:val="18"/>
                <w:szCs w:val="18"/>
              </w:rPr>
              <w:t>X</w:t>
            </w:r>
          </w:p>
        </w:tc>
        <w:tc>
          <w:tcPr>
            <w:tcW w:w="5118" w:type="dxa"/>
          </w:tcPr>
          <w:p w:rsidR="000C0962" w:rsidRPr="004E0AED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4E0AED">
              <w:rPr>
                <w:rFonts w:ascii="Vollkorn" w:hAnsi="Vollkorn" w:cs="Arial"/>
                <w:sz w:val="18"/>
                <w:szCs w:val="18"/>
              </w:rPr>
              <w:t xml:space="preserve">Ne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se da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jer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temelji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:</w:t>
            </w:r>
          </w:p>
          <w:p w:rsidR="000C0962" w:rsidRPr="004E0AED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4E0AED">
              <w:rPr>
                <w:rFonts w:ascii="Vollkorn" w:hAnsi="Vollkorn" w:cs="Arial"/>
                <w:sz w:val="18"/>
                <w:szCs w:val="18"/>
              </w:rPr>
              <w:t xml:space="preserve">-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omogućavanju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zadržavanja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retencijama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pozitivnim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utjecajima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prihranjivanje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vode</w:t>
            </w:r>
            <w:proofErr w:type="spellEnd"/>
          </w:p>
          <w:p w:rsidR="000C0962" w:rsidRPr="004E0AED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4E0AED">
              <w:rPr>
                <w:rFonts w:ascii="Vollkorn" w:hAnsi="Vollkorn" w:cs="Arial"/>
                <w:sz w:val="18"/>
                <w:szCs w:val="18"/>
              </w:rPr>
              <w:t xml:space="preserve">-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omogućavanju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prirodnog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tampon zone (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uklanjanje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antropogenih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izgradnje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ostalo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)</w:t>
            </w:r>
          </w:p>
          <w:p w:rsidR="000C0962" w:rsidRPr="004E0AED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Može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očekivati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pozitivan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smanjenje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unosa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nutrijenata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kemikalija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kojih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dolazi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pojave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bujičnih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poplava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Pr="004E0AED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0C0962" w:rsidRPr="004E0AED" w:rsidRDefault="000C0962" w:rsidP="000C0962">
            <w:pPr>
              <w:spacing w:after="0" w:line="259" w:lineRule="auto"/>
              <w:jc w:val="center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 -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opisati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koji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način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konkretan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projektni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prijedlog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zadovoljava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navedena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načela</w:t>
            </w:r>
            <w:proofErr w:type="spellEnd"/>
          </w:p>
        </w:tc>
      </w:tr>
      <w:tr w:rsidR="000C0962" w:rsidRPr="004E0AED" w:rsidTr="000C0962">
        <w:tc>
          <w:tcPr>
            <w:tcW w:w="2970" w:type="dxa"/>
          </w:tcPr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color w:val="000000" w:themeColor="text1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</w:p>
          <w:p w:rsidR="000C0962" w:rsidRPr="004E0AED" w:rsidRDefault="000C0962" w:rsidP="00B7591E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</w:rPr>
            </w:pPr>
            <w:r>
              <w:rPr>
                <w:rFonts w:ascii="Vollkorn" w:hAnsi="Vollkorn" w:cs="Arial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 w:cs="Arial"/>
                <w:sz w:val="18"/>
                <w:szCs w:val="18"/>
              </w:rPr>
              <w:t>štetiti</w:t>
            </w:r>
            <w:proofErr w:type="spellEnd"/>
            <w:proofErr w:type="gram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 w:cs="Arial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0C0962" w:rsidRPr="004E0AED" w:rsidRDefault="000C0962" w:rsidP="00B7591E">
            <w:pPr>
              <w:tabs>
                <w:tab w:val="left" w:pos="311"/>
              </w:tabs>
              <w:spacing w:after="0" w:line="259" w:lineRule="auto"/>
              <w:jc w:val="center"/>
              <w:rPr>
                <w:rFonts w:ascii="Vollkorn" w:hAnsi="Vollkorn" w:cs="Arial"/>
                <w:sz w:val="18"/>
                <w:szCs w:val="18"/>
              </w:rPr>
            </w:pPr>
            <w:r w:rsidRPr="004E0AED">
              <w:rPr>
                <w:rFonts w:ascii="Vollkorn" w:hAnsi="Vollkorn" w:cs="Arial"/>
                <w:sz w:val="18"/>
                <w:szCs w:val="18"/>
              </w:rPr>
              <w:t>X</w:t>
            </w:r>
          </w:p>
        </w:tc>
        <w:tc>
          <w:tcPr>
            <w:tcW w:w="5118" w:type="dxa"/>
          </w:tcPr>
          <w:p w:rsidR="000C0962" w:rsidRPr="00DA77EF" w:rsidRDefault="000C0962" w:rsidP="00B7591E">
            <w:pPr>
              <w:spacing w:after="0" w:line="259" w:lineRule="auto"/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svaku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određenu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pod-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investiciju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provest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provjera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kako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r w:rsidR="00DA77EF">
              <w:rPr>
                <w:rFonts w:ascii="Vollkorn" w:hAnsi="Vollkorn" w:cs="Arial"/>
                <w:sz w:val="18"/>
                <w:szCs w:val="18"/>
              </w:rPr>
              <w:t xml:space="preserve">bi se </w:t>
            </w:r>
            <w:proofErr w:type="spellStart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procijenilo</w:t>
            </w:r>
            <w:proofErr w:type="spellEnd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je</w:t>
            </w:r>
            <w:proofErr w:type="spellEnd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li </w:t>
            </w:r>
            <w:proofErr w:type="spellStart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provedena</w:t>
            </w:r>
            <w:proofErr w:type="spellEnd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odgovarajuća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procjena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utjecaja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na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okoliš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(PUO).</w:t>
            </w:r>
            <w:r w:rsidR="00DA77EF"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Prema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potrebi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, u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nekim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je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slučajevima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ta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procjena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već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provedena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u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skladu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sa</w:t>
            </w:r>
            <w:proofErr w:type="spellEnd"/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Direktivom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2011/92/EU o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procjeni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učinaka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javnih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I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privatnih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projekata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na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okoliš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(OJ L 26, 28.1.2011.),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izmjenjenu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Direktivom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o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procjeni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učinaka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određenih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planova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I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programa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na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okoliš</w:t>
            </w:r>
            <w:proofErr w:type="spellEnd"/>
            <w:r w:rsid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DA77EF">
              <w:rPr>
                <w:rFonts w:ascii="Vollkorn" w:hAnsi="Vollkorn" w:cs="Arial"/>
                <w:color w:val="171717" w:themeColor="background2" w:themeShade="1A"/>
                <w:sz w:val="18"/>
                <w:szCs w:val="18"/>
              </w:rPr>
              <w:t>(2001/42/EC).</w:t>
            </w:r>
          </w:p>
          <w:p w:rsidR="000C0962" w:rsidRPr="00DA77EF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Tamo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gdje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je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provedena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procjena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zaključci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procjene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-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prema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potrebi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-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mjere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ublažavanja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ugrađuju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 xml:space="preserve"> se u </w:t>
            </w:r>
            <w:proofErr w:type="spellStart"/>
            <w:r w:rsidRPr="00DA77EF">
              <w:rPr>
                <w:rFonts w:ascii="Vollkorn" w:hAnsi="Vollkorn" w:cs="Arial"/>
                <w:sz w:val="18"/>
                <w:szCs w:val="18"/>
              </w:rPr>
              <w:t>projekt</w:t>
            </w:r>
            <w:proofErr w:type="spellEnd"/>
            <w:r w:rsidRPr="00DA77EF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Tamo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gdje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nije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moguće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smanjiti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utjecaje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biološku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raznolikost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/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ekosustave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ulaganje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neće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biti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financirano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iz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NPOO. </w:t>
            </w:r>
            <w:r w:rsidRPr="00AF10FB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Ako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postojeća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procjena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nije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skladu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Direktivom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o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staništima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(92/43 / EZ),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dio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PUO</w:t>
            </w:r>
            <w:r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r w:rsidRPr="00AF10FB">
              <w:rPr>
                <w:rFonts w:ascii="Vollkorn" w:hAnsi="Vollkorn" w:cs="Arial"/>
                <w:sz w:val="18"/>
                <w:szCs w:val="18"/>
              </w:rPr>
              <w:t>-</w:t>
            </w:r>
            <w:r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gramStart"/>
            <w:r w:rsidRPr="00AF10FB">
              <w:rPr>
                <w:rFonts w:ascii="Vollkorn" w:hAnsi="Vollkorn" w:cs="Arial"/>
                <w:sz w:val="18"/>
                <w:szCs w:val="18"/>
              </w:rPr>
              <w:t>a</w:t>
            </w:r>
            <w:proofErr w:type="gram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o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biološkoj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raznolikosti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/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ekosustavu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ponovit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se.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/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projekte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koji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nalaze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unutar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blizini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osjetljivih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biološku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raznolikost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(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uključujući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mrežu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zaštićenih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Natura 2000,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kao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druga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zaštićena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),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ako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ocijeni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da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ulaganje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potencijalno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može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imati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utjecaja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ta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, mora se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izvršiti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odgovarajuća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procjena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utjecaja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prihvatljivosti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skladu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s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odredbama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EU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strategije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za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bioraznolikost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do 2030. –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Vraćanje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prirode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naše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živote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(</w:t>
            </w:r>
            <w:proofErr w:type="gramStart"/>
            <w:r w:rsidR="00DA77EF">
              <w:rPr>
                <w:rFonts w:ascii="Vollkorn" w:hAnsi="Vollkorn" w:cs="Arial"/>
                <w:sz w:val="18"/>
                <w:szCs w:val="18"/>
              </w:rPr>
              <w:t>COM(</w:t>
            </w:r>
            <w:proofErr w:type="gramEnd"/>
            <w:r w:rsidR="00DA77EF">
              <w:rPr>
                <w:rFonts w:ascii="Vollkorn" w:hAnsi="Vollkorn" w:cs="Arial"/>
                <w:sz w:val="18"/>
                <w:szCs w:val="18"/>
              </w:rPr>
              <w:t>2020)280)</w:t>
            </w:r>
            <w:r w:rsidRPr="00AF10FB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Direktive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o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pticama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(2009/147 / EC)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staništa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(92/43 / EC)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temelju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ciljeva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očuvanja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zaštićenog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područja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Za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takve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lokacije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/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projekte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EIA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plan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provedbe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sadržavat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sljedeće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>: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AF10FB">
              <w:rPr>
                <w:rFonts w:ascii="Vollkorn" w:hAnsi="Vollkorn" w:cs="Arial"/>
                <w:sz w:val="18"/>
                <w:szCs w:val="18"/>
              </w:rPr>
              <w:t xml:space="preserve">• Plan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upravljanja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bioraznolikošću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cijelom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obuhvatu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projekta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>;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AF10FB">
              <w:rPr>
                <w:rFonts w:ascii="Vollkorn" w:hAnsi="Vollkorn" w:cs="Arial"/>
                <w:sz w:val="18"/>
                <w:szCs w:val="18"/>
              </w:rPr>
              <w:t xml:space="preserve">•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Sve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potrebne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mjere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ublažavanja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radi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smanjenja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utjecaja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vrste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staništa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>;</w:t>
            </w:r>
          </w:p>
          <w:p w:rsidR="000C0962" w:rsidRPr="00AF10FB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>
              <w:rPr>
                <w:rFonts w:ascii="Vollkorn" w:hAnsi="Vollkorn" w:cs="Arial"/>
                <w:sz w:val="18"/>
                <w:szCs w:val="18"/>
              </w:rPr>
              <w:t xml:space="preserve">• </w:t>
            </w:r>
            <w:proofErr w:type="gramStart"/>
            <w:r>
              <w:rPr>
                <w:rFonts w:ascii="Vollkorn" w:hAnsi="Vollkorn" w:cs="Arial"/>
                <w:sz w:val="18"/>
                <w:szCs w:val="18"/>
              </w:rPr>
              <w:t>program</w:t>
            </w:r>
            <w:proofErr w:type="gramEnd"/>
            <w:r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praćenja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procjene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biološke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raznolikosti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prema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potrebi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Ako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ublažavanje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ne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može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dovoljnoj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mjeri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smanjiti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utjecaje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biološku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raznolikost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/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ekosustave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AF10FB">
              <w:rPr>
                <w:rFonts w:ascii="Vollkorn" w:hAnsi="Vollkorn" w:cs="Arial"/>
                <w:sz w:val="18"/>
                <w:szCs w:val="18"/>
              </w:rPr>
              <w:t>ulaganje</w:t>
            </w:r>
            <w:proofErr w:type="spellEnd"/>
            <w:r w:rsidRPr="00AF10FB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neće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biti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financirano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="00DA77EF">
              <w:rPr>
                <w:rFonts w:ascii="Vollkorn" w:hAnsi="Vollkorn" w:cs="Arial"/>
                <w:sz w:val="18"/>
                <w:szCs w:val="18"/>
              </w:rPr>
              <w:t>iz</w:t>
            </w:r>
            <w:proofErr w:type="spellEnd"/>
            <w:r w:rsidR="00DA77EF">
              <w:rPr>
                <w:rFonts w:ascii="Vollkorn" w:hAnsi="Vollkorn" w:cs="Arial"/>
                <w:sz w:val="18"/>
                <w:szCs w:val="18"/>
              </w:rPr>
              <w:t xml:space="preserve"> NPOO</w:t>
            </w:r>
            <w:r w:rsidRPr="00AF10FB">
              <w:rPr>
                <w:rFonts w:ascii="Vollkorn" w:hAnsi="Vollkorn" w:cs="Arial"/>
                <w:sz w:val="18"/>
                <w:szCs w:val="18"/>
              </w:rPr>
              <w:t>.</w:t>
            </w:r>
          </w:p>
          <w:p w:rsidR="000C0962" w:rsidRPr="00021F6C" w:rsidRDefault="000C0962" w:rsidP="00B7591E">
            <w:pPr>
              <w:spacing w:after="0" w:line="259" w:lineRule="auto"/>
              <w:rPr>
                <w:rFonts w:ascii="Vollkorn" w:hAnsi="Vollkorn" w:cs="Arial"/>
                <w:sz w:val="18"/>
                <w:szCs w:val="18"/>
              </w:rPr>
            </w:pPr>
            <w:r w:rsidRPr="00021F6C">
              <w:rPr>
                <w:rFonts w:ascii="Vollkorn" w:hAnsi="Vollkorn" w:cs="Arial"/>
                <w:sz w:val="18"/>
                <w:szCs w:val="18"/>
                <w:lang w:val="hr-HR"/>
              </w:rPr>
              <w:t>Projekti zaštite od poplava uključeni su u Višegodišnji program gradnje regulacijskih i zaštitnih vodnih građevina i građevina za melioracije, koji je bio dio Plana upravljanja vodnim područjima 2016.-2021., za koji je provedena strateška procjena utjecaja na okoliš.</w:t>
            </w:r>
          </w:p>
        </w:tc>
        <w:tc>
          <w:tcPr>
            <w:tcW w:w="5096" w:type="dxa"/>
          </w:tcPr>
          <w:p w:rsidR="000C0962" w:rsidRPr="00AF10FB" w:rsidRDefault="000C0962" w:rsidP="000C0962">
            <w:pPr>
              <w:spacing w:after="0" w:line="259" w:lineRule="auto"/>
              <w:jc w:val="center"/>
              <w:rPr>
                <w:rFonts w:ascii="Vollkorn" w:hAnsi="Vollkorn" w:cs="Arial"/>
                <w:sz w:val="18"/>
                <w:szCs w:val="18"/>
              </w:rPr>
            </w:pP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Obrazloženje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 -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ispunjava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prijavitelj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pozvati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dokumente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provedene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procedure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kojima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se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potvrđuje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sukladnost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projektnog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prijedloga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s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navedenim</w:t>
            </w:r>
            <w:proofErr w:type="spellEnd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C0962">
              <w:rPr>
                <w:rFonts w:ascii="Vollkorn" w:hAnsi="Vollkorn" w:cs="Arial"/>
                <w:sz w:val="18"/>
                <w:szCs w:val="18"/>
                <w:highlight w:val="yellow"/>
              </w:rPr>
              <w:t>načelima</w:t>
            </w:r>
            <w:proofErr w:type="spellEnd"/>
          </w:p>
        </w:tc>
      </w:tr>
    </w:tbl>
    <w:p w:rsidR="000C0962" w:rsidRPr="000C0962" w:rsidRDefault="000C0962" w:rsidP="000C0962">
      <w:pPr>
        <w:tabs>
          <w:tab w:val="left" w:pos="1140"/>
        </w:tabs>
      </w:pPr>
    </w:p>
    <w:sectPr w:rsidR="000C0962" w:rsidRPr="000C0962" w:rsidSect="00AC6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ollkorn">
    <w:altName w:val="Calibri"/>
    <w:charset w:val="EE"/>
    <w:family w:val="auto"/>
    <w:pitch w:val="variable"/>
    <w:sig w:usb0="00000001" w:usb1="420060FB" w:usb2="03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34B"/>
    <w:multiLevelType w:val="hybridMultilevel"/>
    <w:tmpl w:val="A2005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3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21F6C"/>
    <w:rsid w:val="00036CDF"/>
    <w:rsid w:val="0006521A"/>
    <w:rsid w:val="00084900"/>
    <w:rsid w:val="000C0962"/>
    <w:rsid w:val="00103EAD"/>
    <w:rsid w:val="001B6DC6"/>
    <w:rsid w:val="00226ED9"/>
    <w:rsid w:val="002305BA"/>
    <w:rsid w:val="00265CDB"/>
    <w:rsid w:val="002D73E9"/>
    <w:rsid w:val="0032323A"/>
    <w:rsid w:val="00475984"/>
    <w:rsid w:val="00485FD9"/>
    <w:rsid w:val="004E0AED"/>
    <w:rsid w:val="0051430C"/>
    <w:rsid w:val="005359C4"/>
    <w:rsid w:val="00615D6D"/>
    <w:rsid w:val="006A7967"/>
    <w:rsid w:val="006D20D7"/>
    <w:rsid w:val="006F05BE"/>
    <w:rsid w:val="006F6DBE"/>
    <w:rsid w:val="007718AB"/>
    <w:rsid w:val="007D301C"/>
    <w:rsid w:val="0083082B"/>
    <w:rsid w:val="00882087"/>
    <w:rsid w:val="00A12B9D"/>
    <w:rsid w:val="00A72EF8"/>
    <w:rsid w:val="00AC6E6C"/>
    <w:rsid w:val="00AD424A"/>
    <w:rsid w:val="00AF10FB"/>
    <w:rsid w:val="00BD2820"/>
    <w:rsid w:val="00C659B8"/>
    <w:rsid w:val="00C74F6C"/>
    <w:rsid w:val="00D274B5"/>
    <w:rsid w:val="00D93AC8"/>
    <w:rsid w:val="00DA77EF"/>
    <w:rsid w:val="00F263C1"/>
    <w:rsid w:val="00F51E83"/>
    <w:rsid w:val="00F74F0A"/>
    <w:rsid w:val="00FA4BEA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EF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Vladimir Ledecki</cp:lastModifiedBy>
  <cp:revision>1</cp:revision>
  <cp:lastPrinted>2021-11-24T11:28:00Z</cp:lastPrinted>
  <dcterms:created xsi:type="dcterms:W3CDTF">2022-07-19T13:16:00Z</dcterms:created>
  <dcterms:modified xsi:type="dcterms:W3CDTF">2022-07-19T13:16:00Z</dcterms:modified>
</cp:coreProperties>
</file>