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19757498" w14:textId="77777777" w:rsidR="00E1638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E16B2E0" w14:textId="77777777" w:rsidR="007650FF" w:rsidRDefault="007650FF" w:rsidP="007650FF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37D90541" w14:textId="7FABF5BB" w:rsidR="007650FF" w:rsidRPr="002B2B9B" w:rsidRDefault="007650FF" w:rsidP="007650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56406D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093BFC8C" w:rsidR="00267F71" w:rsidRPr="00635C13" w:rsidRDefault="005129C0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4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8037CE"/>
    <w:p w14:paraId="0B128D86" w14:textId="77777777" w:rsidR="00267F71" w:rsidRPr="00267F71" w:rsidRDefault="00267F71" w:rsidP="006D6D3B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64DC7119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023237B0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</w:t>
      </w:r>
      <w:r w:rsidRPr="00816908">
        <w:rPr>
          <w:rFonts w:ascii="Times New Roman" w:eastAsia="Times New Roman" w:hAnsi="Times New Roman" w:cs="Times New Roman"/>
          <w:sz w:val="24"/>
          <w:szCs w:val="24"/>
        </w:rPr>
        <w:t xml:space="preserve">bespovratnih sredstava </w:t>
      </w:r>
      <w:r w:rsidR="00816908" w:rsidRPr="00816908">
        <w:rPr>
          <w:rFonts w:ascii="Times New Roman" w:eastAsia="Times New Roman" w:hAnsi="Times New Roman" w:cs="Times New Roman"/>
          <w:sz w:val="24"/>
          <w:szCs w:val="24"/>
        </w:rPr>
        <w:t>Ciljana znanstvena istraživanja</w:t>
      </w:r>
      <w:r w:rsidRPr="00816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908">
        <w:rPr>
          <w:rFonts w:ascii="Times New Roman" w:eastAsia="Times New Roman" w:hAnsi="Times New Roman" w:cs="Times New Roman"/>
          <w:b/>
          <w:sz w:val="24"/>
          <w:szCs w:val="24"/>
        </w:rPr>
        <w:t>istiniti i točni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C0586C" w14:textId="77777777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19DCA87E" w:rsidR="00267F71" w:rsidRP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79033217" w:rsidR="00267F71" w:rsidRP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296E02E6" w:rsidR="00267F71" w:rsidRPr="001B3419" w:rsidRDefault="00DC1C6C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od </w:t>
      </w:r>
      <w:r w:rsidR="007218AB"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45023348" w14:textId="390A25AD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u teškoćama kako je definirano u članku 2. točki 18. Uredbe (EU) br. 651/2014 </w:t>
      </w:r>
      <w:r w:rsidR="00267F71" w:rsidRPr="0020200B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A43710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72EBC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A43710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istraživačke </w:t>
      </w:r>
      <w:r w:rsidR="00422DA8" w:rsidRPr="0020200B">
        <w:rPr>
          <w:rFonts w:ascii="Times New Roman" w:hAnsi="Times New Roman" w:cs="Times New Roman"/>
          <w:sz w:val="24"/>
          <w:szCs w:val="24"/>
          <w:highlight w:val="lightGray"/>
        </w:rPr>
        <w:t>organizacije</w:t>
      </w:r>
      <w:r w:rsidR="00A43710" w:rsidRPr="0020200B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DC1C6C" w:rsidRPr="0020200B">
        <w:rPr>
          <w:rFonts w:ascii="Times New Roman" w:hAnsi="Times New Roman" w:cs="Times New Roman"/>
          <w:sz w:val="24"/>
          <w:szCs w:val="24"/>
          <w:highlight w:val="lightGray"/>
        </w:rPr>
        <w:t>;</w:t>
      </w:r>
    </w:p>
    <w:p w14:paraId="007634D1" w14:textId="5D08325D" w:rsidR="00267F71" w:rsidRPr="009912A8" w:rsidRDefault="00DC1C6C" w:rsidP="009912A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lastRenderedPageBreak/>
        <w:t xml:space="preserve">nad </w:t>
      </w:r>
      <w:r w:rsidR="00267F71" w:rsidRPr="001B3419">
        <w:rPr>
          <w:rFonts w:ascii="Times New Roman" w:hAnsi="Times New Roman" w:cs="Times New Roman"/>
          <w:sz w:val="24"/>
          <w:szCs w:val="24"/>
        </w:rPr>
        <w:t>gospodarski</w:t>
      </w:r>
      <w:r w:rsidRPr="001B3419">
        <w:rPr>
          <w:rFonts w:ascii="Times New Roman" w:hAnsi="Times New Roman" w:cs="Times New Roman"/>
          <w:sz w:val="24"/>
          <w:szCs w:val="24"/>
        </w:rPr>
        <w:t>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subjekt</w:t>
      </w:r>
      <w:r w:rsidRPr="001B3419">
        <w:rPr>
          <w:rFonts w:ascii="Times New Roman" w:hAnsi="Times New Roman" w:cs="Times New Roman"/>
          <w:sz w:val="24"/>
          <w:szCs w:val="24"/>
        </w:rPr>
        <w:t>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otvoren stečajni postupak, nesposoban </w:t>
      </w:r>
      <w:r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  <w:r w:rsidR="009912A8">
        <w:rPr>
          <w:rFonts w:ascii="Times New Roman" w:hAnsi="Times New Roman" w:cs="Times New Roman"/>
          <w:sz w:val="24"/>
          <w:szCs w:val="24"/>
        </w:rPr>
        <w:t xml:space="preserve"> </w:t>
      </w:r>
      <w:r w:rsidR="009912A8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 w:rsidR="00372EBC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9912A8"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0A46DAC1" w14:textId="6D4BB6BF" w:rsidR="001B3419" w:rsidRPr="001B3419" w:rsidRDefault="001B3419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Partneru koji nema poslovnu jedinicu ili podružnicu u RH do trenutka</w:t>
      </w:r>
      <w:r w:rsidR="00B16DA2">
        <w:rPr>
          <w:rFonts w:ascii="Times New Roman" w:hAnsi="Times New Roman" w:cs="Times New Roman"/>
          <w:sz w:val="24"/>
          <w:szCs w:val="24"/>
        </w:rPr>
        <w:t xml:space="preserve"> dodjele bespovratnih sredstava </w:t>
      </w:r>
      <w:r w:rsidR="00B16DA2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 w:rsidR="00372EBC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B16DA2"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6DA3C1C4" w14:textId="6BAAACE7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2DE0A762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0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42CCB96C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890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7456335C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3997E30B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5F2B1E48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18F814F6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1444E3E8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8906B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47DDE2B0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7B2F53">
        <w:rPr>
          <w:rFonts w:ascii="Times New Roman" w:hAnsi="Times New Roman" w:cs="Times New Roman"/>
          <w:sz w:val="24"/>
          <w:szCs w:val="24"/>
        </w:rPr>
        <w:t xml:space="preserve"> ili osoba ovlaštena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proglašen</w:t>
      </w:r>
      <w:r w:rsidR="007B2F53">
        <w:rPr>
          <w:rFonts w:ascii="Times New Roman" w:hAnsi="Times New Roman" w:cs="Times New Roman"/>
          <w:sz w:val="24"/>
          <w:szCs w:val="24"/>
        </w:rPr>
        <w:t>a krivom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zbog teškog profesionalnog propusta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52611D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 w:rsidRPr="001B3419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60A6BAE6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264E5234" w:rsidR="00267F71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Pr="001B3419">
        <w:rPr>
          <w:rFonts w:ascii="Times New Roman" w:hAnsi="Times New Roman" w:cs="Times New Roman"/>
          <w:sz w:val="24"/>
          <w:szCs w:val="24"/>
        </w:rPr>
        <w:t>Partnera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(ako oni nemaju poslovni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 w:rsidRPr="001B3419">
        <w:rPr>
          <w:rFonts w:ascii="Times New Roman" w:hAnsi="Times New Roman" w:cs="Times New Roman"/>
          <w:sz w:val="24"/>
          <w:szCs w:val="24"/>
        </w:rPr>
        <w:t>.</w:t>
      </w:r>
    </w:p>
    <w:p w14:paraId="5E2DA472" w14:textId="77777777" w:rsidR="006A66D7" w:rsidRPr="001B3419" w:rsidRDefault="006A66D7" w:rsidP="006A66D7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D2D24AE" w14:textId="2E16E010" w:rsidR="00B95D55" w:rsidRPr="006D6D3B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</w:t>
      </w:r>
      <w:r w:rsidR="00FF1918">
        <w:rPr>
          <w:rFonts w:ascii="Times New Roman" w:hAnsi="Times New Roman" w:cs="Times New Roman"/>
          <w:sz w:val="24"/>
          <w:szCs w:val="24"/>
        </w:rPr>
        <w:t>ovitosti i djelotvornosti, te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6D6D3B">
        <w:rPr>
          <w:rFonts w:ascii="Times New Roman" w:hAnsi="Times New Roman" w:cs="Times New Roman"/>
          <w:sz w:val="24"/>
          <w:szCs w:val="24"/>
        </w:rPr>
        <w:t>nije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započe</w:t>
      </w:r>
      <w:r w:rsidRPr="006D6D3B">
        <w:rPr>
          <w:rFonts w:ascii="Times New Roman" w:hAnsi="Times New Roman" w:cs="Times New Roman"/>
          <w:sz w:val="24"/>
          <w:szCs w:val="24"/>
        </w:rPr>
        <w:t>la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43AD1AD1" w:rsidR="00B95D55" w:rsidRPr="006D6D3B" w:rsidRDefault="00A43710" w:rsidP="00916DDC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520937">
        <w:rPr>
          <w:rFonts w:ascii="Times New Roman" w:hAnsi="Times New Roman" w:cs="Times New Roman"/>
          <w:sz w:val="24"/>
          <w:szCs w:val="24"/>
        </w:rPr>
        <w:t xml:space="preserve">, </w:t>
      </w:r>
      <w:r w:rsidR="00916DDC">
        <w:rPr>
          <w:rFonts w:ascii="Times New Roman" w:hAnsi="Times New Roman" w:cs="Times New Roman"/>
          <w:sz w:val="24"/>
          <w:szCs w:val="24"/>
        </w:rPr>
        <w:t>niti</w:t>
      </w:r>
      <w:r w:rsidR="00520937" w:rsidRPr="00520937">
        <w:rPr>
          <w:rFonts w:ascii="Times New Roman" w:hAnsi="Times New Roman" w:cs="Times New Roman"/>
          <w:sz w:val="24"/>
          <w:szCs w:val="24"/>
        </w:rPr>
        <w:t xml:space="preserve"> projekt smije završiti prije potpisa Ugovora o dodjeli bespovratnih sredstava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8CACC60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na popisu</w:t>
      </w:r>
      <w:r w:rsidR="00E7207C" w:rsidRPr="006D6D3B">
        <w:rPr>
          <w:rFonts w:ascii="Times New Roman" w:hAnsi="Times New Roman" w:cs="Times New Roman"/>
          <w:sz w:val="24"/>
          <w:szCs w:val="24"/>
        </w:rPr>
        <w:t xml:space="preserve"> Uredbe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o popis</w:t>
      </w:r>
      <w:r w:rsidR="00E7207C" w:rsidRPr="006D6D3B">
        <w:rPr>
          <w:rFonts w:ascii="Times New Roman" w:hAnsi="Times New Roman" w:cs="Times New Roman"/>
          <w:sz w:val="24"/>
          <w:szCs w:val="24"/>
        </w:rPr>
        <w:t>u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E7207C" w:rsidRPr="006D6D3B">
        <w:rPr>
          <w:rFonts w:ascii="Times New Roman" w:hAnsi="Times New Roman" w:cs="Times New Roman"/>
          <w:sz w:val="24"/>
          <w:szCs w:val="24"/>
        </w:rPr>
        <w:t>26/18, 37/18, 63/19, 107/21</w:t>
      </w:r>
      <w:r w:rsidR="006B3534" w:rsidRPr="006D6D3B">
        <w:rPr>
          <w:rFonts w:ascii="Times New Roman" w:hAnsi="Times New Roman" w:cs="Times New Roman"/>
          <w:sz w:val="24"/>
          <w:szCs w:val="24"/>
        </w:rPr>
        <w:t>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0BE607D5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916DDC" w:rsidRPr="006C7B1F">
        <w:rPr>
          <w:rFonts w:ascii="Times New Roman" w:hAnsi="Times New Roman" w:cs="Times New Roman"/>
          <w:sz w:val="24"/>
          <w:szCs w:val="24"/>
        </w:rPr>
        <w:t xml:space="preserve">uvažavajući pravila o državnim potporama/potporama male vrijednosti 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te </w:t>
      </w:r>
      <w:r w:rsidR="00916DDC">
        <w:rPr>
          <w:rFonts w:ascii="Times New Roman" w:hAnsi="Times New Roman" w:cs="Times New Roman"/>
          <w:sz w:val="24"/>
          <w:szCs w:val="24"/>
        </w:rPr>
        <w:t xml:space="preserve">je </w:t>
      </w:r>
      <w:r w:rsidR="00B95D55" w:rsidRPr="006D6D3B">
        <w:rPr>
          <w:rFonts w:ascii="Times New Roman" w:hAnsi="Times New Roman" w:cs="Times New Roman"/>
          <w:sz w:val="24"/>
          <w:szCs w:val="24"/>
        </w:rPr>
        <w:t>u skladu sa specifičnim pravilima i zahtjevima primjenjivima na ovaj Poziv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6843EA6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4DCC45B9" w:rsidR="00267F71" w:rsidRPr="008906B8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372EBC">
        <w:rPr>
          <w:rFonts w:ascii="Times New Roman" w:hAnsi="Times New Roman" w:cs="Times New Roman"/>
          <w:sz w:val="24"/>
          <w:szCs w:val="24"/>
        </w:rPr>
        <w:t>poglavlju 5.1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„Razdoblje provedbe projekta“ Uputa</w:t>
      </w:r>
      <w:r w:rsidR="00B371BF" w:rsidRPr="006D6D3B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3CC8CDE6" w14:textId="77777777" w:rsidR="008906B8" w:rsidRPr="00267F71" w:rsidRDefault="008906B8" w:rsidP="008906B8">
      <w:pPr>
        <w:pStyle w:val="ListParagraph"/>
        <w:spacing w:after="120"/>
        <w:ind w:left="567"/>
        <w:jc w:val="both"/>
      </w:pPr>
    </w:p>
    <w:p w14:paraId="7FCE8A98" w14:textId="58F65055" w:rsidR="00DC7E35" w:rsidRPr="00DC7E35" w:rsidRDefault="00DC7E35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hAnsi="Times New Roman" w:cs="Times New Roman"/>
          <w:sz w:val="24"/>
          <w:szCs w:val="24"/>
        </w:rPr>
        <w:t>potvrđujem da:</w:t>
      </w:r>
    </w:p>
    <w:p w14:paraId="6E86BCB4" w14:textId="2311AE53" w:rsidR="00BF66CE" w:rsidRPr="006A66D7" w:rsidRDefault="00BF66CE" w:rsidP="00BF66CE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>ek</w:t>
      </w:r>
      <w:r w:rsidR="00361154"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>onomske djelatnosti Partnera</w:t>
      </w:r>
      <w:r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koje se sastoje od ponude proizvoda ili usluga na</w:t>
      </w:r>
      <w:r w:rsidR="00B83A4E"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određenom tržištu ne premašuju </w:t>
      </w:r>
      <w:r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>20% ukupnih godišnjih kapaciteta istraživačke organizacije (pr</w:t>
      </w:r>
      <w:r w:rsidR="00361154"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imjenjivo </w:t>
      </w:r>
      <w:r w:rsidR="006C63FE"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samo </w:t>
      </w:r>
      <w:r w:rsidR="00361154"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>ukoliko je partner</w:t>
      </w:r>
      <w:r w:rsidRPr="006A66D7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istraživačka organizacija);</w:t>
      </w:r>
    </w:p>
    <w:p w14:paraId="31A7E646" w14:textId="1ABB7A07" w:rsidR="00DC7E35" w:rsidRPr="006D6D3B" w:rsidRDefault="00DC7E35" w:rsidP="00AB4229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Pr="006D6D3B">
        <w:rPr>
          <w:rFonts w:ascii="Times New Roman" w:hAnsi="Times New Roman" w:cs="Times New Roman"/>
          <w:sz w:val="24"/>
          <w:szCs w:val="24"/>
        </w:rPr>
        <w:t xml:space="preserve"> neće koristiti za ekonomske djelatnosti</w:t>
      </w:r>
      <w:r w:rsidR="00AB4229">
        <w:rPr>
          <w:rFonts w:ascii="Times New Roman" w:hAnsi="Times New Roman" w:cs="Times New Roman"/>
          <w:sz w:val="24"/>
          <w:szCs w:val="24"/>
        </w:rPr>
        <w:t xml:space="preserve"> </w:t>
      </w:r>
      <w:r w:rsidR="00AB4229" w:rsidRPr="00AB4229">
        <w:rPr>
          <w:rFonts w:ascii="Times New Roman" w:hAnsi="Times New Roman" w:cs="Times New Roman"/>
          <w:sz w:val="24"/>
          <w:szCs w:val="24"/>
        </w:rPr>
        <w:t>(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primjenjivo </w:t>
      </w:r>
      <w:r w:rsidR="006C63FE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>ukoliko je partner istraživačka organizacija</w:t>
      </w:r>
      <w:r w:rsidR="00AB4229" w:rsidRPr="00AB4229">
        <w:rPr>
          <w:rFonts w:ascii="Times New Roman" w:hAnsi="Times New Roman" w:cs="Times New Roman"/>
          <w:sz w:val="24"/>
          <w:szCs w:val="24"/>
        </w:rPr>
        <w:t>);</w:t>
      </w:r>
    </w:p>
    <w:p w14:paraId="1139EB6A" w14:textId="785973C6" w:rsidR="00267F71" w:rsidRPr="006D6D3B" w:rsidRDefault="00DC7E35" w:rsidP="00AB4229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AB4229">
        <w:rPr>
          <w:rFonts w:ascii="Times New Roman" w:hAnsi="Times New Roman" w:cs="Times New Roman"/>
          <w:sz w:val="24"/>
          <w:szCs w:val="24"/>
        </w:rPr>
        <w:t xml:space="preserve">, 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primjenjivo </w:t>
      </w:r>
      <w:r w:rsidR="006C63FE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>ukoliko je partner istraživačka organizacija</w:t>
      </w:r>
      <w:r w:rsidR="00AB4229">
        <w:rPr>
          <w:rFonts w:ascii="Times New Roman" w:hAnsi="Times New Roman" w:cs="Times New Roman"/>
          <w:sz w:val="24"/>
          <w:szCs w:val="24"/>
        </w:rPr>
        <w:t>,</w:t>
      </w:r>
    </w:p>
    <w:p w14:paraId="54966C15" w14:textId="17062547" w:rsidR="00DC7E35" w:rsidRDefault="004E4B35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6D6D3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1D0C21F" w14:textId="77777777" w:rsidR="008906B8" w:rsidRPr="00626CA0" w:rsidRDefault="008906B8" w:rsidP="008906B8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0A9EAE" w14:textId="77777777" w:rsidR="006A66D7" w:rsidRDefault="006A66D7" w:rsidP="008906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0B47C" w14:textId="77777777" w:rsidR="008906B8" w:rsidRDefault="00DC7E35" w:rsidP="008906B8">
      <w:pPr>
        <w:jc w:val="both"/>
        <w:rPr>
          <w:rFonts w:ascii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="008906B8">
        <w:rPr>
          <w:rFonts w:ascii="Times New Roman" w:hAnsi="Times New Roman" w:cs="Times New Roman"/>
          <w:sz w:val="24"/>
          <w:szCs w:val="24"/>
        </w:rPr>
        <w:t>Potvrđujem da:</w:t>
      </w:r>
    </w:p>
    <w:p w14:paraId="08A8EE3D" w14:textId="77777777" w:rsidR="008906B8" w:rsidRDefault="008906B8" w:rsidP="008906B8">
      <w:pPr>
        <w:pStyle w:val="ListParagraph"/>
        <w:numPr>
          <w:ilvl w:val="0"/>
          <w:numId w:val="14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sam suglasan/suglasna da se </w:t>
      </w:r>
      <w:r>
        <w:rPr>
          <w:rFonts w:ascii="Times New Roman" w:hAnsi="Times New Roman" w:cs="Times New Roman"/>
          <w:sz w:val="24"/>
          <w:szCs w:val="24"/>
        </w:rPr>
        <w:t xml:space="preserve">cjelokupna prijavna dokumentacija i podaci iz procjene projektnih prijedloga koriste u svrhu provedbe vrednovanja Poziva, </w:t>
      </w:r>
      <w:r w:rsidRPr="00B80020">
        <w:rPr>
          <w:rFonts w:ascii="Times New Roman" w:hAnsi="Times New Roman" w:cs="Times New Roman"/>
          <w:sz w:val="24"/>
          <w:szCs w:val="24"/>
        </w:rPr>
        <w:t>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C850EF" w14:textId="77777777" w:rsidR="008906B8" w:rsidRPr="007A0994" w:rsidRDefault="008906B8" w:rsidP="008906B8">
      <w:pPr>
        <w:pStyle w:val="ListParagraph"/>
        <w:numPr>
          <w:ilvl w:val="0"/>
          <w:numId w:val="14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994">
        <w:rPr>
          <w:rFonts w:ascii="Times New Roman" w:hAnsi="Times New Roman" w:cs="Times New Roman"/>
          <w:sz w:val="24"/>
          <w:szCs w:val="24"/>
        </w:rPr>
        <w:t>sam ispunio/ispunila početnu anketu vezanu uz Poziv, na način opisan u Uputama za prijavitelje;</w:t>
      </w:r>
    </w:p>
    <w:p w14:paraId="46D5B232" w14:textId="77777777" w:rsidR="008906B8" w:rsidRPr="000910E0" w:rsidRDefault="008906B8" w:rsidP="008906B8">
      <w:pPr>
        <w:pStyle w:val="ListParagraph"/>
        <w:numPr>
          <w:ilvl w:val="0"/>
          <w:numId w:val="14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suglasan/suglasna da se p</w:t>
      </w:r>
      <w:r w:rsidRPr="00B80020">
        <w:rPr>
          <w:rFonts w:ascii="Times New Roman" w:hAnsi="Times New Roman" w:cs="Times New Roman"/>
          <w:sz w:val="24"/>
          <w:szCs w:val="24"/>
        </w:rPr>
        <w:t>rijavitelja kontaktira za sudjelovanje u budućim anketama vezano za Poziv, ukoliko ih nadležna tijela odluče provesti, 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272F06">
        <w:rPr>
          <w:rFonts w:ascii="Times New Roman" w:hAnsi="Times New Roman" w:cs="Times New Roman"/>
          <w:sz w:val="24"/>
          <w:szCs w:val="24"/>
        </w:rPr>
        <w:t>da se podaci prikupljeni navedenim anketama koriste u svrhu provedbe vrednovanja Poziva.</w:t>
      </w:r>
    </w:p>
    <w:p w14:paraId="50A4247C" w14:textId="77777777" w:rsidR="008906B8" w:rsidRDefault="008906B8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D4EA7" w14:textId="2E9AB12F" w:rsidR="00DC7E35" w:rsidRPr="00DC7E35" w:rsidRDefault="008906B8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B8"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5E7F1B28" w14:textId="60A78447" w:rsidR="00DC7E35" w:rsidRDefault="00DC7E35" w:rsidP="006D6D3B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4461" w:rsidRPr="001E2B75" w14:paraId="6A534BCA" w14:textId="77777777" w:rsidTr="00FD1873">
        <w:tc>
          <w:tcPr>
            <w:tcW w:w="5000" w:type="pct"/>
          </w:tcPr>
          <w:p w14:paraId="1F71BB9E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693771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F0ABBFC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29DA5CA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39217605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3B96140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09D4C060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41E4DA7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9E2542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5080B86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0AEF6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5333C978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4C4DE2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F8C6AF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8F17BC6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03262B2F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3E96" w14:textId="77777777" w:rsidR="00D51E39" w:rsidRDefault="00D51E39" w:rsidP="00DC7E35">
      <w:pPr>
        <w:spacing w:after="0" w:line="240" w:lineRule="auto"/>
      </w:pPr>
      <w:r>
        <w:separator/>
      </w:r>
    </w:p>
  </w:endnote>
  <w:endnote w:type="continuationSeparator" w:id="0">
    <w:p w14:paraId="1845B627" w14:textId="77777777" w:rsidR="00D51E39" w:rsidRDefault="00D51E39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53E3877A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A66D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A66D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9DB4E" w14:textId="77777777" w:rsidR="00D51E39" w:rsidRDefault="00D51E39" w:rsidP="00DC7E35">
      <w:pPr>
        <w:spacing w:after="0" w:line="240" w:lineRule="auto"/>
      </w:pPr>
      <w:r>
        <w:separator/>
      </w:r>
    </w:p>
  </w:footnote>
  <w:footnote w:type="continuationSeparator" w:id="0">
    <w:p w14:paraId="3A94257B" w14:textId="77777777" w:rsidR="00D51E39" w:rsidRDefault="00D51E39" w:rsidP="00DC7E35">
      <w:pPr>
        <w:spacing w:after="0" w:line="240" w:lineRule="auto"/>
      </w:pPr>
      <w:r>
        <w:continuationSeparator/>
      </w:r>
    </w:p>
  </w:footnote>
  <w:footnote w:id="1">
    <w:p w14:paraId="31E80A42" w14:textId="5A3712BA" w:rsidR="008906B8" w:rsidRDefault="00890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55E1"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639CC" w14:textId="1F56C0C2" w:rsidR="006A66D7" w:rsidRPr="006A66D7" w:rsidRDefault="006A66D7">
    <w:pPr>
      <w:pStyle w:val="Header"/>
      <w:rPr>
        <w:rFonts w:ascii="Times New Roman" w:hAnsi="Times New Roman" w:cs="Times New Roman"/>
      </w:rPr>
    </w:pPr>
    <w:r w:rsidRPr="006A66D7">
      <w:rPr>
        <w:rFonts w:ascii="Times New Roman" w:hAnsi="Times New Roman" w:cs="Times New Roman"/>
        <w:highlight w:val="yellow"/>
      </w:rPr>
      <w:t>3. Izmjena</w:t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28"/>
    <w:multiLevelType w:val="hybridMultilevel"/>
    <w:tmpl w:val="66E4BA6C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4E74468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62E3"/>
    <w:rsid w:val="0003724D"/>
    <w:rsid w:val="00096776"/>
    <w:rsid w:val="000C1EA7"/>
    <w:rsid w:val="000D7350"/>
    <w:rsid w:val="000F2C07"/>
    <w:rsid w:val="001151CE"/>
    <w:rsid w:val="00155742"/>
    <w:rsid w:val="00161983"/>
    <w:rsid w:val="001B3419"/>
    <w:rsid w:val="001C49E6"/>
    <w:rsid w:val="0020200B"/>
    <w:rsid w:val="00267F71"/>
    <w:rsid w:val="00311D13"/>
    <w:rsid w:val="003453C1"/>
    <w:rsid w:val="0035209A"/>
    <w:rsid w:val="00361154"/>
    <w:rsid w:val="00372EBC"/>
    <w:rsid w:val="00422DA8"/>
    <w:rsid w:val="004E4B35"/>
    <w:rsid w:val="00504461"/>
    <w:rsid w:val="005129C0"/>
    <w:rsid w:val="00520937"/>
    <w:rsid w:val="0056406D"/>
    <w:rsid w:val="005B2B57"/>
    <w:rsid w:val="00626CA0"/>
    <w:rsid w:val="00635C13"/>
    <w:rsid w:val="00653196"/>
    <w:rsid w:val="006A66D7"/>
    <w:rsid w:val="006B3534"/>
    <w:rsid w:val="006B53B8"/>
    <w:rsid w:val="006C63FE"/>
    <w:rsid w:val="006D6D3B"/>
    <w:rsid w:val="007218AB"/>
    <w:rsid w:val="007650FF"/>
    <w:rsid w:val="007B2F53"/>
    <w:rsid w:val="007E6366"/>
    <w:rsid w:val="008037CE"/>
    <w:rsid w:val="00816908"/>
    <w:rsid w:val="008173E7"/>
    <w:rsid w:val="00821554"/>
    <w:rsid w:val="00822641"/>
    <w:rsid w:val="00885431"/>
    <w:rsid w:val="008906B8"/>
    <w:rsid w:val="008932D7"/>
    <w:rsid w:val="008D1BCD"/>
    <w:rsid w:val="00916DDC"/>
    <w:rsid w:val="009912A8"/>
    <w:rsid w:val="00A24BEB"/>
    <w:rsid w:val="00A43710"/>
    <w:rsid w:val="00A737D1"/>
    <w:rsid w:val="00A76BBC"/>
    <w:rsid w:val="00AB4229"/>
    <w:rsid w:val="00AE73F7"/>
    <w:rsid w:val="00B16DA2"/>
    <w:rsid w:val="00B371BF"/>
    <w:rsid w:val="00B83A4E"/>
    <w:rsid w:val="00B95D55"/>
    <w:rsid w:val="00BE1813"/>
    <w:rsid w:val="00BF66CE"/>
    <w:rsid w:val="00C62330"/>
    <w:rsid w:val="00CE3EEE"/>
    <w:rsid w:val="00D46B92"/>
    <w:rsid w:val="00D47787"/>
    <w:rsid w:val="00D51E39"/>
    <w:rsid w:val="00DB58A8"/>
    <w:rsid w:val="00DC1C6C"/>
    <w:rsid w:val="00DC7E35"/>
    <w:rsid w:val="00DD61F5"/>
    <w:rsid w:val="00E07C6C"/>
    <w:rsid w:val="00E1638E"/>
    <w:rsid w:val="00E7207C"/>
    <w:rsid w:val="00EA2D38"/>
    <w:rsid w:val="00EC015E"/>
    <w:rsid w:val="00F3002F"/>
    <w:rsid w:val="00F940DC"/>
    <w:rsid w:val="00FC7CD7"/>
    <w:rsid w:val="00FE004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09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09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2F54-1F59-4531-89DA-549630F5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27</cp:revision>
  <dcterms:created xsi:type="dcterms:W3CDTF">2023-02-15T13:29:00Z</dcterms:created>
  <dcterms:modified xsi:type="dcterms:W3CDTF">2023-09-07T13:36:00Z</dcterms:modified>
</cp:coreProperties>
</file>